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CEAE" w14:textId="77777777" w:rsidR="0029653A" w:rsidRDefault="0029653A" w:rsidP="00D37716">
      <w:pPr>
        <w:ind w:left="6300" w:firstLine="3765"/>
        <w:rPr>
          <w:color w:val="000000"/>
          <w:sz w:val="20"/>
        </w:rPr>
      </w:pPr>
    </w:p>
    <w:p w14:paraId="50CD307D" w14:textId="1A4A35D2" w:rsidR="00D37716" w:rsidRPr="00BB1EBB" w:rsidRDefault="00D37716" w:rsidP="00D37716">
      <w:pPr>
        <w:ind w:left="6300" w:firstLine="3765"/>
        <w:rPr>
          <w:color w:val="000000"/>
          <w:sz w:val="20"/>
        </w:rPr>
      </w:pPr>
      <w:r w:rsidRPr="00BB1EBB">
        <w:rPr>
          <w:color w:val="000000"/>
          <w:sz w:val="20"/>
        </w:rPr>
        <w:t xml:space="preserve">Приложение </w:t>
      </w:r>
      <w:r w:rsidRPr="005735D7">
        <w:rPr>
          <w:color w:val="000000" w:themeColor="text1"/>
          <w:sz w:val="20"/>
        </w:rPr>
        <w:t xml:space="preserve">№ </w:t>
      </w:r>
      <w:r w:rsidR="00361BA4">
        <w:rPr>
          <w:color w:val="000000" w:themeColor="text1"/>
          <w:sz w:val="20"/>
        </w:rPr>
        <w:t>5</w:t>
      </w:r>
      <w:r w:rsidR="001A66D6">
        <w:rPr>
          <w:color w:val="000000" w:themeColor="text1"/>
          <w:sz w:val="20"/>
        </w:rPr>
        <w:t xml:space="preserve"> </w:t>
      </w:r>
      <w:r w:rsidR="00361BA4">
        <w:rPr>
          <w:color w:val="000000" w:themeColor="text1"/>
          <w:sz w:val="20"/>
        </w:rPr>
        <w:br/>
        <w:t xml:space="preserve">                                                                           </w:t>
      </w:r>
      <w:r w:rsidRPr="005735D7">
        <w:rPr>
          <w:color w:val="000000" w:themeColor="text1"/>
          <w:sz w:val="20"/>
        </w:rPr>
        <w:t xml:space="preserve">к </w:t>
      </w:r>
      <w:r w:rsidRPr="00BB1EBB">
        <w:rPr>
          <w:color w:val="000000"/>
          <w:sz w:val="20"/>
        </w:rPr>
        <w:t xml:space="preserve">протоколу </w:t>
      </w:r>
      <w:r>
        <w:rPr>
          <w:color w:val="000000"/>
          <w:sz w:val="20"/>
        </w:rPr>
        <w:t>РГ РОА</w:t>
      </w:r>
      <w:r w:rsidRPr="00BB1EBB">
        <w:rPr>
          <w:color w:val="000000"/>
          <w:sz w:val="20"/>
        </w:rPr>
        <w:t xml:space="preserve"> № </w:t>
      </w:r>
      <w:r w:rsidR="001A66D6">
        <w:rPr>
          <w:color w:val="000000"/>
          <w:sz w:val="20"/>
        </w:rPr>
        <w:t>1</w:t>
      </w:r>
      <w:r w:rsidR="00A46A1F">
        <w:rPr>
          <w:color w:val="000000"/>
          <w:sz w:val="20"/>
        </w:rPr>
        <w:t>4</w:t>
      </w:r>
      <w:r w:rsidRPr="00BB1EBB">
        <w:rPr>
          <w:color w:val="000000"/>
          <w:sz w:val="20"/>
        </w:rPr>
        <w:t>-20</w:t>
      </w:r>
      <w:r w:rsidR="006D0289">
        <w:rPr>
          <w:color w:val="000000"/>
          <w:sz w:val="20"/>
        </w:rPr>
        <w:t>2</w:t>
      </w:r>
      <w:r w:rsidR="00A46A1F">
        <w:rPr>
          <w:color w:val="000000"/>
          <w:sz w:val="20"/>
        </w:rPr>
        <w:t>1</w:t>
      </w:r>
    </w:p>
    <w:p w14:paraId="6ACA1F06" w14:textId="77777777" w:rsidR="00007725" w:rsidRDefault="00007725" w:rsidP="00007725">
      <w:pPr>
        <w:jc w:val="center"/>
        <w:rPr>
          <w:b/>
          <w:bCs/>
          <w:sz w:val="24"/>
          <w:szCs w:val="24"/>
        </w:rPr>
      </w:pPr>
    </w:p>
    <w:p w14:paraId="67150D6F" w14:textId="77777777" w:rsidR="0029653A" w:rsidRDefault="0029653A" w:rsidP="00007725">
      <w:pPr>
        <w:jc w:val="center"/>
        <w:rPr>
          <w:b/>
          <w:bCs/>
          <w:sz w:val="24"/>
          <w:szCs w:val="24"/>
        </w:rPr>
      </w:pPr>
    </w:p>
    <w:p w14:paraId="2DB136AA" w14:textId="77777777" w:rsidR="004710B1" w:rsidRPr="008205FA" w:rsidRDefault="004710B1" w:rsidP="004710B1">
      <w:pPr>
        <w:jc w:val="center"/>
        <w:rPr>
          <w:b/>
          <w:sz w:val="24"/>
          <w:szCs w:val="24"/>
        </w:rPr>
      </w:pPr>
      <w:r w:rsidRPr="008205FA">
        <w:rPr>
          <w:b/>
          <w:sz w:val="24"/>
          <w:szCs w:val="24"/>
        </w:rPr>
        <w:t>ПРЕДЛОЖЕНИЯ</w:t>
      </w:r>
    </w:p>
    <w:p w14:paraId="028ADB59" w14:textId="77777777" w:rsidR="004710B1" w:rsidRDefault="004710B1" w:rsidP="004710B1">
      <w:pPr>
        <w:jc w:val="center"/>
        <w:rPr>
          <w:b/>
          <w:sz w:val="24"/>
          <w:szCs w:val="24"/>
        </w:rPr>
      </w:pPr>
      <w:r>
        <w:rPr>
          <w:b/>
          <w:sz w:val="24"/>
          <w:szCs w:val="24"/>
        </w:rPr>
        <w:t>национальных органов</w:t>
      </w:r>
      <w:r w:rsidRPr="00ED27D9">
        <w:rPr>
          <w:b/>
          <w:sz w:val="24"/>
          <w:szCs w:val="24"/>
        </w:rPr>
        <w:t xml:space="preserve"> по </w:t>
      </w:r>
      <w:r>
        <w:rPr>
          <w:b/>
          <w:sz w:val="24"/>
          <w:szCs w:val="24"/>
        </w:rPr>
        <w:t xml:space="preserve">проекту документа </w:t>
      </w:r>
    </w:p>
    <w:p w14:paraId="240D92AA" w14:textId="77777777" w:rsidR="00151A9A" w:rsidRDefault="0084784D" w:rsidP="00151A9A">
      <w:pPr>
        <w:jc w:val="center"/>
        <w:rPr>
          <w:b/>
          <w:bCs/>
          <w:sz w:val="24"/>
          <w:szCs w:val="24"/>
        </w:rPr>
      </w:pPr>
      <w:r w:rsidRPr="0084784D">
        <w:rPr>
          <w:b/>
          <w:bCs/>
          <w:sz w:val="24"/>
          <w:szCs w:val="24"/>
        </w:rPr>
        <w:t>«Порядок осуществления паритетных оценок органов по аккредитации»</w:t>
      </w:r>
    </w:p>
    <w:p w14:paraId="37C0597B" w14:textId="77777777" w:rsidR="0029653A" w:rsidRDefault="0029653A" w:rsidP="00151A9A">
      <w:pPr>
        <w:jc w:val="center"/>
        <w:rPr>
          <w:b/>
          <w:bCs/>
          <w:sz w:val="24"/>
          <w:szCs w:val="24"/>
        </w:rPr>
      </w:pPr>
    </w:p>
    <w:p w14:paraId="6935865E" w14:textId="77777777" w:rsidR="00DA0043" w:rsidRPr="00ED27D9" w:rsidRDefault="00DA0043" w:rsidP="00151A9A">
      <w:pPr>
        <w:jc w:val="center"/>
        <w:rPr>
          <w:b/>
          <w:bCs/>
          <w:sz w:val="24"/>
          <w:szCs w:val="24"/>
        </w:rPr>
      </w:pP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065"/>
        <w:gridCol w:w="2551"/>
        <w:gridCol w:w="2126"/>
      </w:tblGrid>
      <w:tr w:rsidR="004F00A2" w14:paraId="1B16DE14" w14:textId="669C4F4A" w:rsidTr="004558E6">
        <w:tc>
          <w:tcPr>
            <w:tcW w:w="10065" w:type="dxa"/>
            <w:tcBorders>
              <w:top w:val="single" w:sz="6" w:space="0" w:color="auto"/>
              <w:left w:val="single" w:sz="6" w:space="0" w:color="auto"/>
              <w:bottom w:val="single" w:sz="6" w:space="0" w:color="auto"/>
              <w:right w:val="single" w:sz="6" w:space="0" w:color="auto"/>
            </w:tcBorders>
            <w:vAlign w:val="center"/>
            <w:hideMark/>
          </w:tcPr>
          <w:p w14:paraId="4570B750" w14:textId="77777777" w:rsidR="004F00A2" w:rsidRDefault="004F00A2" w:rsidP="00F2547A">
            <w:pPr>
              <w:spacing w:before="60" w:after="60" w:line="200" w:lineRule="exact"/>
              <w:ind w:left="-57" w:right="-57"/>
              <w:jc w:val="center"/>
              <w:rPr>
                <w:rFonts w:ascii="Times New Roman CYR" w:hAnsi="Times New Roman CYR"/>
                <w:sz w:val="20"/>
              </w:rPr>
            </w:pPr>
            <w:r>
              <w:rPr>
                <w:rFonts w:ascii="Times New Roman CYR" w:hAnsi="Times New Roman CYR"/>
                <w:sz w:val="20"/>
              </w:rPr>
              <w:t xml:space="preserve">Замечания и предложения национальных органов по аккредитации </w:t>
            </w:r>
          </w:p>
          <w:p w14:paraId="103558E0" w14:textId="77777777" w:rsidR="004F00A2" w:rsidRDefault="004F00A2" w:rsidP="00F2547A">
            <w:pPr>
              <w:spacing w:before="60" w:after="60" w:line="200" w:lineRule="exact"/>
              <w:ind w:left="-57" w:right="-57"/>
              <w:jc w:val="center"/>
              <w:rPr>
                <w:rFonts w:ascii="Times New Roman CYR" w:hAnsi="Times New Roman CYR"/>
                <w:sz w:val="20"/>
              </w:rPr>
            </w:pPr>
            <w:r>
              <w:rPr>
                <w:rFonts w:ascii="Times New Roman CYR" w:hAnsi="Times New Roman CYR"/>
                <w:sz w:val="20"/>
              </w:rPr>
              <w:t>государств-участников СНГ, дата поступления</w:t>
            </w:r>
          </w:p>
        </w:tc>
        <w:tc>
          <w:tcPr>
            <w:tcW w:w="2551" w:type="dxa"/>
            <w:tcBorders>
              <w:top w:val="single" w:sz="6" w:space="0" w:color="auto"/>
              <w:left w:val="single" w:sz="6" w:space="0" w:color="auto"/>
              <w:bottom w:val="single" w:sz="6" w:space="0" w:color="auto"/>
              <w:right w:val="single" w:sz="6" w:space="0" w:color="auto"/>
            </w:tcBorders>
            <w:vAlign w:val="center"/>
            <w:hideMark/>
          </w:tcPr>
          <w:p w14:paraId="699F308F" w14:textId="2F03739C" w:rsidR="004F00A2" w:rsidRDefault="004558E6" w:rsidP="00A46A1F">
            <w:pPr>
              <w:spacing w:before="60" w:after="60" w:line="200" w:lineRule="exact"/>
              <w:ind w:left="-57" w:right="-57"/>
              <w:jc w:val="center"/>
              <w:rPr>
                <w:rFonts w:ascii="Times New Roman CYR" w:hAnsi="Times New Roman CYR"/>
                <w:sz w:val="20"/>
              </w:rPr>
            </w:pPr>
            <w:r>
              <w:rPr>
                <w:rFonts w:ascii="Times New Roman CYR" w:hAnsi="Times New Roman CYR"/>
                <w:sz w:val="20"/>
              </w:rPr>
              <w:t>Позиция</w:t>
            </w:r>
            <w:r w:rsidR="004F00A2">
              <w:rPr>
                <w:rFonts w:ascii="Times New Roman CYR" w:hAnsi="Times New Roman CYR"/>
                <w:sz w:val="20"/>
              </w:rPr>
              <w:br/>
            </w:r>
            <w:r w:rsidR="003079B4">
              <w:rPr>
                <w:rFonts w:ascii="Times New Roman CYR" w:hAnsi="Times New Roman CYR"/>
                <w:sz w:val="20"/>
              </w:rPr>
              <w:t>разработчика</w:t>
            </w:r>
          </w:p>
        </w:tc>
        <w:tc>
          <w:tcPr>
            <w:tcW w:w="2126" w:type="dxa"/>
            <w:tcBorders>
              <w:top w:val="single" w:sz="6" w:space="0" w:color="auto"/>
              <w:left w:val="single" w:sz="6" w:space="0" w:color="auto"/>
              <w:bottom w:val="single" w:sz="6" w:space="0" w:color="auto"/>
              <w:right w:val="single" w:sz="6" w:space="0" w:color="auto"/>
            </w:tcBorders>
          </w:tcPr>
          <w:p w14:paraId="159AC30B" w14:textId="06EC077E" w:rsidR="004F00A2" w:rsidRDefault="003079B4" w:rsidP="00A46A1F">
            <w:pPr>
              <w:spacing w:before="60" w:after="60" w:line="200" w:lineRule="exact"/>
              <w:ind w:left="-57" w:right="-57"/>
              <w:jc w:val="center"/>
              <w:rPr>
                <w:rFonts w:ascii="Times New Roman CYR" w:hAnsi="Times New Roman CYR"/>
                <w:sz w:val="20"/>
              </w:rPr>
            </w:pPr>
            <w:r>
              <w:rPr>
                <w:rFonts w:ascii="Times New Roman CYR" w:hAnsi="Times New Roman CYR"/>
                <w:sz w:val="20"/>
              </w:rPr>
              <w:t>Мнение</w:t>
            </w:r>
            <w:r>
              <w:rPr>
                <w:rFonts w:ascii="Times New Roman CYR" w:hAnsi="Times New Roman CYR"/>
                <w:sz w:val="20"/>
              </w:rPr>
              <w:br/>
              <w:t>14-го заседания РГ РОА</w:t>
            </w:r>
          </w:p>
        </w:tc>
      </w:tr>
    </w:tbl>
    <w:p w14:paraId="57526FF8" w14:textId="77777777" w:rsidR="00151A9A" w:rsidRDefault="00151A9A" w:rsidP="00151A9A">
      <w:pPr>
        <w:rPr>
          <w:sz w:val="2"/>
          <w:szCs w:val="2"/>
        </w:rPr>
      </w:pPr>
    </w:p>
    <w:tbl>
      <w:tblPr>
        <w:tblStyle w:val="1"/>
        <w:tblW w:w="14737" w:type="dxa"/>
        <w:tblLayout w:type="fixed"/>
        <w:tblLook w:val="0680" w:firstRow="0" w:lastRow="0" w:firstColumn="1" w:lastColumn="0" w:noHBand="1" w:noVBand="1"/>
      </w:tblPr>
      <w:tblGrid>
        <w:gridCol w:w="988"/>
        <w:gridCol w:w="2126"/>
        <w:gridCol w:w="1405"/>
        <w:gridCol w:w="511"/>
        <w:gridCol w:w="1344"/>
        <w:gridCol w:w="1559"/>
        <w:gridCol w:w="2127"/>
        <w:gridCol w:w="2551"/>
        <w:gridCol w:w="2126"/>
      </w:tblGrid>
      <w:tr w:rsidR="003079B4" w:rsidRPr="007067AE" w14:paraId="6B20862B" w14:textId="77777777" w:rsidTr="00AC7B95">
        <w:trPr>
          <w:trHeight w:val="461"/>
        </w:trPr>
        <w:tc>
          <w:tcPr>
            <w:tcW w:w="14737" w:type="dxa"/>
            <w:gridSpan w:val="9"/>
          </w:tcPr>
          <w:p w14:paraId="109E5A9C" w14:textId="1BCE0D2A" w:rsidR="003079B4" w:rsidRDefault="003079B4" w:rsidP="00F2547A">
            <w:pPr>
              <w:pStyle w:val="a3"/>
              <w:spacing w:line="235" w:lineRule="exact"/>
              <w:jc w:val="center"/>
              <w:rPr>
                <w:b/>
                <w:sz w:val="22"/>
                <w:szCs w:val="22"/>
              </w:rPr>
            </w:pPr>
            <w:r w:rsidRPr="007067AE">
              <w:rPr>
                <w:b/>
                <w:sz w:val="22"/>
                <w:szCs w:val="22"/>
              </w:rPr>
              <w:t>Азербайджанская Республика</w:t>
            </w:r>
          </w:p>
          <w:p w14:paraId="2606BA29" w14:textId="77777777" w:rsidR="003079B4" w:rsidRPr="00942379" w:rsidRDefault="003079B4" w:rsidP="00D14137">
            <w:pPr>
              <w:pStyle w:val="aa"/>
              <w:ind w:left="0"/>
              <w:jc w:val="center"/>
              <w:rPr>
                <w:b/>
                <w:sz w:val="22"/>
                <w:szCs w:val="22"/>
              </w:rPr>
            </w:pPr>
            <w:r>
              <w:rPr>
                <w:sz w:val="22"/>
                <w:szCs w:val="22"/>
              </w:rPr>
              <w:t>(</w:t>
            </w:r>
            <w:r w:rsidRPr="007067AE">
              <w:rPr>
                <w:sz w:val="22"/>
                <w:szCs w:val="22"/>
              </w:rPr>
              <w:t>предложения не поступали</w:t>
            </w:r>
            <w:r>
              <w:rPr>
                <w:sz w:val="22"/>
                <w:szCs w:val="22"/>
              </w:rPr>
              <w:t>)</w:t>
            </w:r>
          </w:p>
        </w:tc>
      </w:tr>
      <w:tr w:rsidR="003079B4" w:rsidRPr="007067AE" w14:paraId="0D55E70C" w14:textId="77777777" w:rsidTr="00B83D81">
        <w:trPr>
          <w:trHeight w:val="461"/>
        </w:trPr>
        <w:tc>
          <w:tcPr>
            <w:tcW w:w="14737" w:type="dxa"/>
            <w:gridSpan w:val="9"/>
          </w:tcPr>
          <w:p w14:paraId="59C80034" w14:textId="6C32814D" w:rsidR="003079B4" w:rsidRDefault="003079B4" w:rsidP="00F2547A">
            <w:pPr>
              <w:pStyle w:val="a3"/>
              <w:spacing w:line="235" w:lineRule="exact"/>
              <w:jc w:val="center"/>
              <w:rPr>
                <w:b/>
                <w:sz w:val="22"/>
                <w:szCs w:val="22"/>
              </w:rPr>
            </w:pPr>
            <w:r w:rsidRPr="007067AE">
              <w:rPr>
                <w:b/>
                <w:sz w:val="22"/>
                <w:szCs w:val="22"/>
              </w:rPr>
              <w:t>Республика Армения</w:t>
            </w:r>
          </w:p>
          <w:p w14:paraId="68BCA9F9" w14:textId="77777777" w:rsidR="003079B4" w:rsidRDefault="003079B4" w:rsidP="000B64A4">
            <w:pPr>
              <w:pStyle w:val="a3"/>
              <w:spacing w:line="235" w:lineRule="exact"/>
              <w:jc w:val="center"/>
              <w:rPr>
                <w:sz w:val="22"/>
                <w:szCs w:val="22"/>
              </w:rPr>
            </w:pPr>
            <w:r>
              <w:rPr>
                <w:sz w:val="22"/>
                <w:szCs w:val="22"/>
              </w:rPr>
              <w:t>(письмо директора ГНО «Национальный орган по аккредитации»</w:t>
            </w:r>
          </w:p>
          <w:p w14:paraId="28D1A28E" w14:textId="77777777" w:rsidR="003079B4" w:rsidRPr="007067AE" w:rsidRDefault="003079B4" w:rsidP="000B64A4">
            <w:pPr>
              <w:pStyle w:val="a3"/>
              <w:spacing w:line="235" w:lineRule="exact"/>
              <w:jc w:val="center"/>
              <w:rPr>
                <w:b/>
                <w:sz w:val="22"/>
                <w:szCs w:val="22"/>
              </w:rPr>
            </w:pPr>
            <w:r>
              <w:rPr>
                <w:sz w:val="22"/>
                <w:szCs w:val="22"/>
              </w:rPr>
              <w:t xml:space="preserve">№ </w:t>
            </w:r>
            <w:r>
              <w:rPr>
                <w:sz w:val="22"/>
                <w:szCs w:val="22"/>
                <w:lang w:val="en-US"/>
              </w:rPr>
              <w:t>UO</w:t>
            </w:r>
            <w:r w:rsidRPr="000B64A4">
              <w:rPr>
                <w:sz w:val="22"/>
                <w:szCs w:val="22"/>
              </w:rPr>
              <w:t xml:space="preserve">-665 </w:t>
            </w:r>
            <w:r>
              <w:rPr>
                <w:sz w:val="22"/>
                <w:szCs w:val="22"/>
              </w:rPr>
              <w:t>от</w:t>
            </w:r>
            <w:r w:rsidRPr="000B64A4">
              <w:rPr>
                <w:sz w:val="22"/>
                <w:szCs w:val="22"/>
              </w:rPr>
              <w:t xml:space="preserve"> 11</w:t>
            </w:r>
            <w:r>
              <w:rPr>
                <w:sz w:val="22"/>
                <w:szCs w:val="22"/>
              </w:rPr>
              <w:t>.</w:t>
            </w:r>
            <w:r w:rsidRPr="000B64A4">
              <w:rPr>
                <w:sz w:val="22"/>
                <w:szCs w:val="22"/>
              </w:rPr>
              <w:t>10</w:t>
            </w:r>
            <w:r>
              <w:rPr>
                <w:sz w:val="22"/>
                <w:szCs w:val="22"/>
              </w:rPr>
              <w:t xml:space="preserve">.2021 </w:t>
            </w:r>
            <w:proofErr w:type="spellStart"/>
            <w:r>
              <w:rPr>
                <w:sz w:val="22"/>
                <w:szCs w:val="22"/>
              </w:rPr>
              <w:t>А.С.Обосян</w:t>
            </w:r>
            <w:proofErr w:type="spellEnd"/>
            <w:r>
              <w:rPr>
                <w:sz w:val="22"/>
                <w:szCs w:val="22"/>
              </w:rPr>
              <w:t>)</w:t>
            </w:r>
          </w:p>
        </w:tc>
      </w:tr>
      <w:tr w:rsidR="00FC6814" w:rsidRPr="007067AE" w14:paraId="1B0A1594" w14:textId="77777777" w:rsidTr="00276A4F">
        <w:trPr>
          <w:trHeight w:val="461"/>
        </w:trPr>
        <w:tc>
          <w:tcPr>
            <w:tcW w:w="14737" w:type="dxa"/>
            <w:gridSpan w:val="9"/>
          </w:tcPr>
          <w:p w14:paraId="5578EC32" w14:textId="2EB3F216" w:rsidR="00FC6814" w:rsidRPr="007067AE" w:rsidRDefault="00FC6814" w:rsidP="00F2547A">
            <w:pPr>
              <w:pStyle w:val="a3"/>
              <w:spacing w:line="235" w:lineRule="exact"/>
              <w:jc w:val="center"/>
              <w:rPr>
                <w:b/>
                <w:sz w:val="22"/>
                <w:szCs w:val="22"/>
              </w:rPr>
            </w:pPr>
            <w:r w:rsidRPr="000B64A4">
              <w:rPr>
                <w:sz w:val="22"/>
                <w:szCs w:val="22"/>
              </w:rPr>
              <w:t>Замечания и предложения отсутствуют</w:t>
            </w:r>
            <w:r>
              <w:rPr>
                <w:sz w:val="22"/>
                <w:szCs w:val="22"/>
              </w:rPr>
              <w:t>.</w:t>
            </w:r>
          </w:p>
        </w:tc>
      </w:tr>
      <w:tr w:rsidR="003079B4" w:rsidRPr="007067AE" w14:paraId="7F08AE5C" w14:textId="77777777" w:rsidTr="00727785">
        <w:trPr>
          <w:trHeight w:val="461"/>
        </w:trPr>
        <w:tc>
          <w:tcPr>
            <w:tcW w:w="14737" w:type="dxa"/>
            <w:gridSpan w:val="9"/>
          </w:tcPr>
          <w:p w14:paraId="6CEA9951" w14:textId="6494F1EE" w:rsidR="003079B4" w:rsidRPr="007067AE" w:rsidRDefault="003079B4" w:rsidP="0084784D">
            <w:pPr>
              <w:pStyle w:val="a3"/>
              <w:spacing w:line="235" w:lineRule="exact"/>
              <w:jc w:val="center"/>
              <w:rPr>
                <w:b/>
                <w:sz w:val="22"/>
                <w:szCs w:val="22"/>
              </w:rPr>
            </w:pPr>
            <w:r w:rsidRPr="007067AE">
              <w:rPr>
                <w:b/>
                <w:sz w:val="22"/>
                <w:szCs w:val="22"/>
              </w:rPr>
              <w:t>Республика Беларусь</w:t>
            </w:r>
            <w:r w:rsidRPr="007067AE">
              <w:rPr>
                <w:b/>
                <w:sz w:val="22"/>
                <w:szCs w:val="22"/>
              </w:rPr>
              <w:br/>
            </w:r>
            <w:r w:rsidRPr="008A6945">
              <w:rPr>
                <w:sz w:val="22"/>
                <w:szCs w:val="22"/>
              </w:rPr>
              <w:t>(</w:t>
            </w:r>
            <w:r>
              <w:rPr>
                <w:sz w:val="22"/>
                <w:szCs w:val="22"/>
              </w:rPr>
              <w:t>разработчик документа)</w:t>
            </w:r>
            <w:r w:rsidRPr="008A6945">
              <w:rPr>
                <w:sz w:val="22"/>
                <w:szCs w:val="22"/>
              </w:rPr>
              <w:t xml:space="preserve"> </w:t>
            </w:r>
          </w:p>
        </w:tc>
      </w:tr>
      <w:tr w:rsidR="003079B4" w:rsidRPr="007067AE" w14:paraId="7302669D" w14:textId="77777777" w:rsidTr="000A6B9A">
        <w:trPr>
          <w:trHeight w:val="461"/>
        </w:trPr>
        <w:tc>
          <w:tcPr>
            <w:tcW w:w="14737" w:type="dxa"/>
            <w:gridSpan w:val="9"/>
          </w:tcPr>
          <w:p w14:paraId="0B15FC08" w14:textId="6DDDE0C1" w:rsidR="003079B4" w:rsidRPr="007067AE" w:rsidRDefault="003079B4" w:rsidP="00F2547A">
            <w:pPr>
              <w:jc w:val="center"/>
              <w:rPr>
                <w:b/>
                <w:sz w:val="22"/>
                <w:szCs w:val="22"/>
              </w:rPr>
            </w:pPr>
            <w:r w:rsidRPr="007067AE">
              <w:rPr>
                <w:b/>
                <w:sz w:val="22"/>
                <w:szCs w:val="22"/>
              </w:rPr>
              <w:t>Грузия</w:t>
            </w:r>
          </w:p>
          <w:p w14:paraId="65727514" w14:textId="77777777" w:rsidR="003079B4" w:rsidRPr="007067AE" w:rsidRDefault="003079B4" w:rsidP="00F2547A">
            <w:pPr>
              <w:pStyle w:val="a3"/>
              <w:spacing w:line="235" w:lineRule="exact"/>
              <w:jc w:val="center"/>
              <w:rPr>
                <w:b/>
                <w:sz w:val="22"/>
                <w:szCs w:val="22"/>
              </w:rPr>
            </w:pPr>
            <w:r>
              <w:rPr>
                <w:sz w:val="22"/>
                <w:szCs w:val="22"/>
              </w:rPr>
              <w:t>(</w:t>
            </w:r>
            <w:r w:rsidRPr="007067AE">
              <w:rPr>
                <w:sz w:val="22"/>
                <w:szCs w:val="22"/>
              </w:rPr>
              <w:t>предложения не поступали</w:t>
            </w:r>
            <w:r>
              <w:rPr>
                <w:sz w:val="22"/>
                <w:szCs w:val="22"/>
              </w:rPr>
              <w:t>)</w:t>
            </w:r>
          </w:p>
        </w:tc>
      </w:tr>
      <w:tr w:rsidR="003079B4" w:rsidRPr="007067AE" w14:paraId="1193A442" w14:textId="77777777" w:rsidTr="0089410A">
        <w:trPr>
          <w:trHeight w:val="461"/>
        </w:trPr>
        <w:tc>
          <w:tcPr>
            <w:tcW w:w="14737" w:type="dxa"/>
            <w:gridSpan w:val="9"/>
          </w:tcPr>
          <w:p w14:paraId="3E2799E2" w14:textId="60B1D69F" w:rsidR="003079B4" w:rsidRDefault="003079B4" w:rsidP="006D0289">
            <w:pPr>
              <w:jc w:val="center"/>
              <w:rPr>
                <w:b/>
                <w:sz w:val="22"/>
                <w:szCs w:val="22"/>
              </w:rPr>
            </w:pPr>
            <w:r w:rsidRPr="00942379">
              <w:rPr>
                <w:b/>
                <w:sz w:val="22"/>
                <w:szCs w:val="22"/>
              </w:rPr>
              <w:t>Республика Казахстан</w:t>
            </w:r>
          </w:p>
          <w:p w14:paraId="10474EE4" w14:textId="77777777" w:rsidR="003079B4" w:rsidRDefault="003079B4" w:rsidP="00D1407F">
            <w:pPr>
              <w:jc w:val="center"/>
              <w:rPr>
                <w:sz w:val="22"/>
                <w:szCs w:val="22"/>
              </w:rPr>
            </w:pPr>
            <w:r w:rsidRPr="008A6945">
              <w:rPr>
                <w:sz w:val="22"/>
                <w:szCs w:val="22"/>
              </w:rPr>
              <w:t>(</w:t>
            </w:r>
            <w:r>
              <w:rPr>
                <w:sz w:val="22"/>
                <w:szCs w:val="22"/>
              </w:rPr>
              <w:t xml:space="preserve">письмо председателя КТРМ </w:t>
            </w:r>
            <w:proofErr w:type="spellStart"/>
            <w:r>
              <w:rPr>
                <w:sz w:val="22"/>
                <w:szCs w:val="22"/>
              </w:rPr>
              <w:t>А.Абенова</w:t>
            </w:r>
            <w:proofErr w:type="spellEnd"/>
          </w:p>
          <w:p w14:paraId="1AAA47DD" w14:textId="77777777" w:rsidR="003079B4" w:rsidRPr="008A6945" w:rsidRDefault="003079B4" w:rsidP="004D0046">
            <w:pPr>
              <w:jc w:val="center"/>
              <w:rPr>
                <w:sz w:val="22"/>
                <w:szCs w:val="22"/>
              </w:rPr>
            </w:pPr>
            <w:r w:rsidRPr="004D0046">
              <w:rPr>
                <w:sz w:val="22"/>
                <w:szCs w:val="22"/>
              </w:rPr>
              <w:t>№ 24-1-24/6216 от 14.10.2021</w:t>
            </w:r>
            <w:r w:rsidRPr="008A6945">
              <w:rPr>
                <w:sz w:val="22"/>
                <w:szCs w:val="22"/>
              </w:rPr>
              <w:t>)</w:t>
            </w:r>
          </w:p>
        </w:tc>
      </w:tr>
      <w:tr w:rsidR="00692BA7" w:rsidRPr="007067AE" w14:paraId="619F6C2D" w14:textId="77777777" w:rsidTr="00657684">
        <w:trPr>
          <w:trHeight w:val="461"/>
        </w:trPr>
        <w:tc>
          <w:tcPr>
            <w:tcW w:w="3114" w:type="dxa"/>
            <w:gridSpan w:val="2"/>
            <w:vAlign w:val="center"/>
          </w:tcPr>
          <w:p w14:paraId="68112994" w14:textId="77777777" w:rsidR="00692BA7" w:rsidRPr="00D1407F" w:rsidRDefault="00692BA7" w:rsidP="00657684">
            <w:pPr>
              <w:jc w:val="center"/>
              <w:rPr>
                <w:bCs/>
                <w:sz w:val="20"/>
              </w:rPr>
            </w:pPr>
            <w:r w:rsidRPr="00D1407F">
              <w:rPr>
                <w:bCs/>
                <w:sz w:val="20"/>
              </w:rPr>
              <w:t>Редакция «БГЦА»</w:t>
            </w:r>
          </w:p>
        </w:tc>
        <w:tc>
          <w:tcPr>
            <w:tcW w:w="3260" w:type="dxa"/>
            <w:gridSpan w:val="3"/>
            <w:vAlign w:val="center"/>
          </w:tcPr>
          <w:p w14:paraId="7574F60B" w14:textId="77777777" w:rsidR="00692BA7" w:rsidRPr="00D1407F" w:rsidRDefault="00692BA7" w:rsidP="00657684">
            <w:pPr>
              <w:jc w:val="center"/>
              <w:rPr>
                <w:bCs/>
                <w:sz w:val="20"/>
              </w:rPr>
            </w:pPr>
            <w:r w:rsidRPr="00D1407F">
              <w:rPr>
                <w:bCs/>
                <w:sz w:val="20"/>
              </w:rPr>
              <w:t>Предлагаемая редакция</w:t>
            </w:r>
            <w:r>
              <w:rPr>
                <w:bCs/>
                <w:sz w:val="20"/>
              </w:rPr>
              <w:t xml:space="preserve"> КТРМ</w:t>
            </w:r>
          </w:p>
        </w:tc>
        <w:tc>
          <w:tcPr>
            <w:tcW w:w="3686" w:type="dxa"/>
            <w:gridSpan w:val="2"/>
            <w:vAlign w:val="center"/>
          </w:tcPr>
          <w:p w14:paraId="230FF7B0" w14:textId="77777777" w:rsidR="00692BA7" w:rsidRPr="00D1407F" w:rsidRDefault="00692BA7" w:rsidP="00657684">
            <w:pPr>
              <w:jc w:val="center"/>
              <w:rPr>
                <w:bCs/>
                <w:color w:val="FF0000"/>
                <w:sz w:val="20"/>
              </w:rPr>
            </w:pPr>
            <w:r w:rsidRPr="00D1407F">
              <w:rPr>
                <w:bCs/>
                <w:sz w:val="20"/>
              </w:rPr>
              <w:t>Примечание</w:t>
            </w:r>
          </w:p>
        </w:tc>
        <w:tc>
          <w:tcPr>
            <w:tcW w:w="2551" w:type="dxa"/>
            <w:vAlign w:val="center"/>
          </w:tcPr>
          <w:p w14:paraId="56771C7B" w14:textId="63E7B6C1" w:rsidR="00692BA7" w:rsidRPr="007D61F6" w:rsidRDefault="004558E6" w:rsidP="00657684">
            <w:pPr>
              <w:jc w:val="center"/>
              <w:rPr>
                <w:b/>
                <w:sz w:val="20"/>
              </w:rPr>
            </w:pPr>
            <w:r>
              <w:rPr>
                <w:rFonts w:ascii="Times New Roman CYR" w:hAnsi="Times New Roman CYR"/>
                <w:sz w:val="20"/>
              </w:rPr>
              <w:t>Позиция</w:t>
            </w:r>
            <w:r w:rsidR="00692BA7" w:rsidRPr="007D61F6">
              <w:rPr>
                <w:rFonts w:ascii="Times New Roman CYR" w:hAnsi="Times New Roman CYR"/>
                <w:sz w:val="20"/>
              </w:rPr>
              <w:br/>
              <w:t>разработчика</w:t>
            </w:r>
          </w:p>
        </w:tc>
        <w:tc>
          <w:tcPr>
            <w:tcW w:w="2126" w:type="dxa"/>
            <w:vAlign w:val="center"/>
          </w:tcPr>
          <w:p w14:paraId="369DDFCC" w14:textId="6A21B6F4" w:rsidR="00692BA7" w:rsidRPr="00942379" w:rsidRDefault="00411904" w:rsidP="00657684">
            <w:pPr>
              <w:jc w:val="center"/>
              <w:rPr>
                <w:b/>
                <w:sz w:val="22"/>
                <w:szCs w:val="22"/>
              </w:rPr>
            </w:pPr>
            <w:r>
              <w:rPr>
                <w:rFonts w:ascii="Times New Roman CYR" w:hAnsi="Times New Roman CYR"/>
                <w:sz w:val="20"/>
              </w:rPr>
              <w:t>Мнение</w:t>
            </w:r>
            <w:r>
              <w:rPr>
                <w:rFonts w:ascii="Times New Roman CYR" w:hAnsi="Times New Roman CYR"/>
                <w:sz w:val="20"/>
              </w:rPr>
              <w:br/>
              <w:t>14-го заседания РГ РОА</w:t>
            </w:r>
          </w:p>
        </w:tc>
      </w:tr>
      <w:tr w:rsidR="00692BA7" w:rsidRPr="007067AE" w14:paraId="3CC98843" w14:textId="77777777" w:rsidTr="00692BA7">
        <w:trPr>
          <w:trHeight w:val="461"/>
        </w:trPr>
        <w:tc>
          <w:tcPr>
            <w:tcW w:w="3114" w:type="dxa"/>
            <w:gridSpan w:val="2"/>
          </w:tcPr>
          <w:p w14:paraId="3C05D6BC" w14:textId="77777777" w:rsidR="00692BA7" w:rsidRPr="00D1407F" w:rsidRDefault="00692BA7" w:rsidP="00692BA7">
            <w:pPr>
              <w:rPr>
                <w:sz w:val="20"/>
              </w:rPr>
            </w:pPr>
            <w:r w:rsidRPr="00D1407F">
              <w:rPr>
                <w:sz w:val="20"/>
              </w:rPr>
              <w:t xml:space="preserve">2.1.1 Орган по аккредитации должен соответствовать положениям ISO/IEC 17011 и документов IAF и ILAC, принятых ЕААС в качестве обязательных; </w:t>
            </w:r>
          </w:p>
        </w:tc>
        <w:tc>
          <w:tcPr>
            <w:tcW w:w="3260" w:type="dxa"/>
            <w:gridSpan w:val="3"/>
          </w:tcPr>
          <w:p w14:paraId="470BC2B6" w14:textId="77777777" w:rsidR="00692BA7" w:rsidRPr="00D1407F" w:rsidRDefault="00692BA7" w:rsidP="00692BA7">
            <w:pPr>
              <w:rPr>
                <w:sz w:val="20"/>
              </w:rPr>
            </w:pPr>
            <w:r w:rsidRPr="00D1407F">
              <w:rPr>
                <w:sz w:val="20"/>
              </w:rPr>
              <w:t xml:space="preserve">2.1.1 Орган по аккредитации должен соответствовать положениям ISO/IEC 17011 и документов IAF и ILAC, принятых ЕААС в качестве обязательных, </w:t>
            </w:r>
            <w:r w:rsidRPr="00D1407F">
              <w:rPr>
                <w:b/>
                <w:bCs/>
                <w:sz w:val="20"/>
              </w:rPr>
              <w:t>где это применимо</w:t>
            </w:r>
            <w:r w:rsidRPr="00D1407F">
              <w:rPr>
                <w:sz w:val="20"/>
              </w:rPr>
              <w:t>.</w:t>
            </w:r>
          </w:p>
        </w:tc>
        <w:tc>
          <w:tcPr>
            <w:tcW w:w="3686" w:type="dxa"/>
            <w:gridSpan w:val="2"/>
          </w:tcPr>
          <w:p w14:paraId="2939A6D8" w14:textId="77777777" w:rsidR="00692BA7" w:rsidRPr="00D1407F" w:rsidRDefault="00692BA7" w:rsidP="00692BA7">
            <w:pPr>
              <w:rPr>
                <w:sz w:val="20"/>
              </w:rPr>
            </w:pPr>
            <w:r w:rsidRPr="00D1407F">
              <w:rPr>
                <w:sz w:val="20"/>
              </w:rPr>
              <w:t>IAF/ILAC A2:01/2018</w:t>
            </w:r>
          </w:p>
          <w:p w14:paraId="23C2876F" w14:textId="77777777" w:rsidR="00692BA7" w:rsidRPr="00D1407F" w:rsidRDefault="00692BA7" w:rsidP="00692BA7">
            <w:pPr>
              <w:rPr>
                <w:color w:val="FF0000"/>
                <w:sz w:val="20"/>
              </w:rPr>
            </w:pPr>
            <w:r w:rsidRPr="00D1407F">
              <w:rPr>
                <w:sz w:val="20"/>
              </w:rPr>
              <w:t>2.1.1 Орган по аккредитации должен соответствовать требованиям положений ISO/IEC 17011 и обязательных документов IAF и ILAC, где это применимо.</w:t>
            </w:r>
          </w:p>
        </w:tc>
        <w:tc>
          <w:tcPr>
            <w:tcW w:w="2551" w:type="dxa"/>
          </w:tcPr>
          <w:p w14:paraId="2978FE56" w14:textId="77777777" w:rsidR="00692BA7" w:rsidRPr="00692BA7" w:rsidRDefault="00692BA7" w:rsidP="00692BA7">
            <w:pPr>
              <w:jc w:val="both"/>
              <w:rPr>
                <w:rFonts w:eastAsia="Calibri"/>
                <w:i/>
                <w:iCs/>
                <w:sz w:val="20"/>
                <w:lang w:eastAsia="en-US"/>
              </w:rPr>
            </w:pPr>
            <w:r w:rsidRPr="00692BA7">
              <w:rPr>
                <w:rFonts w:eastAsia="Calibri"/>
                <w:i/>
                <w:iCs/>
                <w:sz w:val="20"/>
                <w:lang w:eastAsia="en-US"/>
              </w:rPr>
              <w:t>Предлагаем принять.</w:t>
            </w:r>
          </w:p>
          <w:p w14:paraId="5555BCB3" w14:textId="77777777" w:rsidR="00692BA7" w:rsidRPr="007D61F6" w:rsidRDefault="00692BA7" w:rsidP="00692BA7">
            <w:pPr>
              <w:jc w:val="center"/>
              <w:rPr>
                <w:b/>
                <w:sz w:val="20"/>
              </w:rPr>
            </w:pPr>
          </w:p>
        </w:tc>
        <w:tc>
          <w:tcPr>
            <w:tcW w:w="2126" w:type="dxa"/>
          </w:tcPr>
          <w:p w14:paraId="78D2746E" w14:textId="328C8EF9" w:rsidR="00692BA7" w:rsidRPr="00942379" w:rsidRDefault="00692BA7" w:rsidP="00692BA7">
            <w:pPr>
              <w:jc w:val="center"/>
              <w:rPr>
                <w:b/>
                <w:sz w:val="22"/>
                <w:szCs w:val="22"/>
              </w:rPr>
            </w:pPr>
          </w:p>
        </w:tc>
      </w:tr>
      <w:tr w:rsidR="00692BA7" w:rsidRPr="007067AE" w14:paraId="4014AD87" w14:textId="77777777" w:rsidTr="00692BA7">
        <w:trPr>
          <w:trHeight w:val="461"/>
        </w:trPr>
        <w:tc>
          <w:tcPr>
            <w:tcW w:w="3114" w:type="dxa"/>
            <w:gridSpan w:val="2"/>
          </w:tcPr>
          <w:p w14:paraId="1A7D4630" w14:textId="77777777" w:rsidR="00692BA7" w:rsidRPr="00D1407F" w:rsidRDefault="00692BA7" w:rsidP="00692BA7">
            <w:pPr>
              <w:rPr>
                <w:sz w:val="20"/>
              </w:rPr>
            </w:pPr>
            <w:r w:rsidRPr="00D1407F">
              <w:rPr>
                <w:sz w:val="20"/>
              </w:rPr>
              <w:t>2.3.1 Орган по аккредитации должен:</w:t>
            </w:r>
          </w:p>
          <w:p w14:paraId="52FA5CBA" w14:textId="77777777" w:rsidR="00692BA7" w:rsidRPr="00D1407F" w:rsidRDefault="00692BA7" w:rsidP="00692BA7">
            <w:pPr>
              <w:rPr>
                <w:sz w:val="20"/>
              </w:rPr>
            </w:pPr>
            <w:r w:rsidRPr="00D1407F">
              <w:rPr>
                <w:sz w:val="20"/>
              </w:rPr>
              <w:lastRenderedPageBreak/>
              <w:t>2.2.1.1 демонстрировать опыт в проведении аккредитации органов по оценке соответствия (ООС) – на момент проведения паритетной оценки должна быть как минимум одна действительная аккредитация ООС по каждому направлению деятельности, на которые орган по аккредитации представляет заявку в ЕААС;</w:t>
            </w:r>
          </w:p>
        </w:tc>
        <w:tc>
          <w:tcPr>
            <w:tcW w:w="3260" w:type="dxa"/>
            <w:gridSpan w:val="3"/>
          </w:tcPr>
          <w:p w14:paraId="69C43BBC" w14:textId="77777777" w:rsidR="00692BA7" w:rsidRPr="00D1407F" w:rsidRDefault="00692BA7" w:rsidP="00692BA7">
            <w:pPr>
              <w:rPr>
                <w:b/>
                <w:bCs/>
                <w:sz w:val="20"/>
              </w:rPr>
            </w:pPr>
            <w:r w:rsidRPr="00D1407F">
              <w:rPr>
                <w:b/>
                <w:bCs/>
                <w:sz w:val="20"/>
              </w:rPr>
              <w:lastRenderedPageBreak/>
              <w:t xml:space="preserve">2.2.1 </w:t>
            </w:r>
            <w:r w:rsidRPr="00D1407F">
              <w:rPr>
                <w:sz w:val="20"/>
              </w:rPr>
              <w:t>Орган по аккредитации должен:</w:t>
            </w:r>
          </w:p>
          <w:p w14:paraId="28349847" w14:textId="77777777" w:rsidR="00692BA7" w:rsidRPr="00D1407F" w:rsidRDefault="00692BA7" w:rsidP="00692BA7">
            <w:pPr>
              <w:rPr>
                <w:sz w:val="20"/>
              </w:rPr>
            </w:pPr>
            <w:r w:rsidRPr="00D1407F">
              <w:rPr>
                <w:sz w:val="20"/>
              </w:rPr>
              <w:lastRenderedPageBreak/>
              <w:t xml:space="preserve">2.2.1.1 демонстрировать опыт в проведении аккредитации органов по оценке соответствия (ООС) </w:t>
            </w:r>
            <w:r w:rsidRPr="00D1407F">
              <w:rPr>
                <w:b/>
                <w:bCs/>
                <w:sz w:val="20"/>
              </w:rPr>
              <w:t>и провести и выдать, как минимум, одну аккредитацию, которая действительна на момент проведения оценки, по каждой области, на которую орган по аккредитации представляет заявку в ЕААС;</w:t>
            </w:r>
          </w:p>
        </w:tc>
        <w:tc>
          <w:tcPr>
            <w:tcW w:w="3686" w:type="dxa"/>
            <w:gridSpan w:val="2"/>
          </w:tcPr>
          <w:p w14:paraId="04C2B4BD" w14:textId="77777777" w:rsidR="00692BA7" w:rsidRPr="00D1407F" w:rsidRDefault="00692BA7" w:rsidP="00692BA7">
            <w:pPr>
              <w:rPr>
                <w:sz w:val="20"/>
              </w:rPr>
            </w:pPr>
            <w:r w:rsidRPr="00D1407F">
              <w:rPr>
                <w:sz w:val="20"/>
              </w:rPr>
              <w:lastRenderedPageBreak/>
              <w:t>IAF/ILAC A2:01/2018</w:t>
            </w:r>
          </w:p>
          <w:p w14:paraId="3C9C5B13" w14:textId="77777777" w:rsidR="00692BA7" w:rsidRPr="00D1407F" w:rsidRDefault="00692BA7" w:rsidP="00692BA7">
            <w:pPr>
              <w:rPr>
                <w:sz w:val="20"/>
              </w:rPr>
            </w:pPr>
          </w:p>
          <w:p w14:paraId="555ECC61" w14:textId="77777777" w:rsidR="00692BA7" w:rsidRPr="00D1407F" w:rsidRDefault="00692BA7" w:rsidP="00692BA7">
            <w:pPr>
              <w:rPr>
                <w:color w:val="FF0000"/>
                <w:sz w:val="20"/>
              </w:rPr>
            </w:pPr>
            <w:r w:rsidRPr="00D1407F">
              <w:rPr>
                <w:sz w:val="20"/>
              </w:rPr>
              <w:lastRenderedPageBreak/>
              <w:t>2.2.1.1 Продемонстрировать опыт в проведении оценки аккредитованных им органов по оценке соответствия (ООС) и провести и выдать, как минимум, одну аккредитацию, которая действительна на момент проведения оценки, по каждой области заявленного Соглашения;</w:t>
            </w:r>
          </w:p>
        </w:tc>
        <w:tc>
          <w:tcPr>
            <w:tcW w:w="2551" w:type="dxa"/>
          </w:tcPr>
          <w:p w14:paraId="71C96849" w14:textId="77777777" w:rsidR="00692BA7" w:rsidRPr="00692BA7" w:rsidRDefault="00692BA7" w:rsidP="00692BA7">
            <w:pPr>
              <w:jc w:val="both"/>
              <w:rPr>
                <w:rFonts w:eastAsia="Calibri"/>
                <w:i/>
                <w:iCs/>
                <w:sz w:val="20"/>
                <w:lang w:eastAsia="en-US"/>
              </w:rPr>
            </w:pPr>
            <w:r w:rsidRPr="00692BA7">
              <w:rPr>
                <w:rFonts w:eastAsia="Calibri"/>
                <w:i/>
                <w:iCs/>
                <w:sz w:val="20"/>
                <w:lang w:eastAsia="en-US"/>
              </w:rPr>
              <w:lastRenderedPageBreak/>
              <w:t>Предлагаем принять.</w:t>
            </w:r>
          </w:p>
          <w:p w14:paraId="6CA0C9CB" w14:textId="77777777" w:rsidR="00692BA7" w:rsidRPr="007D61F6" w:rsidRDefault="00692BA7" w:rsidP="00692BA7">
            <w:pPr>
              <w:jc w:val="center"/>
              <w:rPr>
                <w:b/>
                <w:sz w:val="20"/>
              </w:rPr>
            </w:pPr>
          </w:p>
        </w:tc>
        <w:tc>
          <w:tcPr>
            <w:tcW w:w="2126" w:type="dxa"/>
          </w:tcPr>
          <w:p w14:paraId="30D39555" w14:textId="5534FB7D" w:rsidR="00692BA7" w:rsidRPr="00942379" w:rsidRDefault="00692BA7" w:rsidP="00692BA7">
            <w:pPr>
              <w:jc w:val="center"/>
              <w:rPr>
                <w:b/>
                <w:sz w:val="22"/>
                <w:szCs w:val="22"/>
              </w:rPr>
            </w:pPr>
          </w:p>
        </w:tc>
      </w:tr>
      <w:tr w:rsidR="00692BA7" w:rsidRPr="007067AE" w14:paraId="341F7D5D" w14:textId="77777777" w:rsidTr="00692BA7">
        <w:trPr>
          <w:trHeight w:val="461"/>
        </w:trPr>
        <w:tc>
          <w:tcPr>
            <w:tcW w:w="3114" w:type="dxa"/>
            <w:gridSpan w:val="2"/>
          </w:tcPr>
          <w:p w14:paraId="7451F11A" w14:textId="77777777" w:rsidR="00692BA7" w:rsidRPr="00D1407F" w:rsidRDefault="00692BA7" w:rsidP="00692BA7">
            <w:pPr>
              <w:jc w:val="both"/>
              <w:rPr>
                <w:sz w:val="20"/>
              </w:rPr>
            </w:pPr>
            <w:r w:rsidRPr="00D1407F">
              <w:rPr>
                <w:sz w:val="20"/>
              </w:rPr>
              <w:t xml:space="preserve">2.2.1.2 демонстрировать опыт управления органом по аккредитации и располагать достаточным количеством компетентных оценщиков и технических экспертов для выполнения работ по аккредитации по всем направлениям своей деятельности; </w:t>
            </w:r>
          </w:p>
          <w:p w14:paraId="069B6337" w14:textId="77777777" w:rsidR="00692BA7" w:rsidRPr="00D1407F" w:rsidRDefault="00692BA7" w:rsidP="00692BA7">
            <w:pPr>
              <w:jc w:val="both"/>
              <w:rPr>
                <w:sz w:val="20"/>
              </w:rPr>
            </w:pPr>
          </w:p>
        </w:tc>
        <w:tc>
          <w:tcPr>
            <w:tcW w:w="3260" w:type="dxa"/>
            <w:gridSpan w:val="3"/>
          </w:tcPr>
          <w:p w14:paraId="1239F6B2" w14:textId="77777777" w:rsidR="00692BA7" w:rsidRPr="00D1407F" w:rsidRDefault="00692BA7" w:rsidP="00692BA7">
            <w:pPr>
              <w:jc w:val="both"/>
              <w:rPr>
                <w:sz w:val="20"/>
              </w:rPr>
            </w:pPr>
            <w:r w:rsidRPr="00D1407F">
              <w:rPr>
                <w:sz w:val="20"/>
              </w:rPr>
              <w:t xml:space="preserve">2.2.1.2 демонстрировать опыт управления органом по аккредитации, </w:t>
            </w:r>
            <w:r w:rsidRPr="00D1407F">
              <w:rPr>
                <w:b/>
                <w:bCs/>
                <w:sz w:val="20"/>
              </w:rPr>
              <w:t>и иметь специальные технические знания во всех аспектах своей деятельности аккредитации. Если количество аккредитованных ООС на момент проведения оценки насчитывает меньше 4, группой по оценке рассматривается необходимость проведения дополнительной оценки до наступления официального 4-летнего периода;</w:t>
            </w:r>
          </w:p>
        </w:tc>
        <w:tc>
          <w:tcPr>
            <w:tcW w:w="3686" w:type="dxa"/>
            <w:gridSpan w:val="2"/>
          </w:tcPr>
          <w:p w14:paraId="54B9C99A" w14:textId="77777777" w:rsidR="00692BA7" w:rsidRPr="00D1407F" w:rsidRDefault="00692BA7" w:rsidP="00692BA7">
            <w:pPr>
              <w:jc w:val="both"/>
              <w:rPr>
                <w:sz w:val="20"/>
              </w:rPr>
            </w:pPr>
            <w:r w:rsidRPr="00D1407F">
              <w:rPr>
                <w:sz w:val="20"/>
              </w:rPr>
              <w:t>IAF/ILAC-A2:01/2018</w:t>
            </w:r>
          </w:p>
          <w:p w14:paraId="767808F6" w14:textId="77777777" w:rsidR="00692BA7" w:rsidRPr="00D1407F" w:rsidRDefault="00692BA7" w:rsidP="00692BA7">
            <w:pPr>
              <w:pStyle w:val="Default"/>
              <w:rPr>
                <w:sz w:val="20"/>
                <w:szCs w:val="20"/>
              </w:rPr>
            </w:pPr>
          </w:p>
          <w:p w14:paraId="75FCB468" w14:textId="77777777" w:rsidR="00692BA7" w:rsidRPr="00D1407F" w:rsidRDefault="00692BA7" w:rsidP="00692BA7">
            <w:pPr>
              <w:pStyle w:val="Default"/>
              <w:rPr>
                <w:color w:val="FF0000"/>
                <w:sz w:val="20"/>
                <w:szCs w:val="20"/>
              </w:rPr>
            </w:pPr>
            <w:r w:rsidRPr="00D1407F">
              <w:rPr>
                <w:sz w:val="20"/>
                <w:szCs w:val="20"/>
              </w:rPr>
              <w:t>2.2.1.2.</w:t>
            </w:r>
            <w:r w:rsidRPr="00D1407F">
              <w:rPr>
                <w:sz w:val="20"/>
                <w:szCs w:val="20"/>
                <w:lang w:val="kk-KZ"/>
              </w:rPr>
              <w:t xml:space="preserve"> </w:t>
            </w:r>
            <w:r w:rsidRPr="00D1407F">
              <w:rPr>
                <w:sz w:val="20"/>
                <w:szCs w:val="20"/>
              </w:rPr>
              <w:t xml:space="preserve">Иметь опыт в управлении органом по аккредитации, и иметь специальные технические знания во всех аспектах своей деятельности аккредитации. </w:t>
            </w:r>
            <w:r w:rsidRPr="00D1407F">
              <w:rPr>
                <w:color w:val="auto"/>
                <w:sz w:val="20"/>
                <w:szCs w:val="20"/>
              </w:rPr>
              <w:t xml:space="preserve">Если количество аккредитованных ООС на момент проведения оценки насчитывает меньше 4, группой по принятию решений рассматривается необходимость проведения дополнительной оценки до наступления официального 4-летнего периода. </w:t>
            </w:r>
          </w:p>
        </w:tc>
        <w:tc>
          <w:tcPr>
            <w:tcW w:w="2551" w:type="dxa"/>
          </w:tcPr>
          <w:p w14:paraId="7753E1EF" w14:textId="77777777" w:rsidR="00692BA7" w:rsidRPr="00692BA7" w:rsidRDefault="00692BA7" w:rsidP="00692BA7">
            <w:pPr>
              <w:jc w:val="both"/>
              <w:rPr>
                <w:rFonts w:eastAsia="Calibri"/>
                <w:i/>
                <w:iCs/>
                <w:sz w:val="20"/>
                <w:lang w:eastAsia="en-US"/>
              </w:rPr>
            </w:pPr>
            <w:r w:rsidRPr="00692BA7">
              <w:rPr>
                <w:rFonts w:eastAsia="Calibri"/>
                <w:i/>
                <w:iCs/>
                <w:sz w:val="20"/>
                <w:lang w:eastAsia="en-US"/>
              </w:rPr>
              <w:t>Предлагаем принять.</w:t>
            </w:r>
          </w:p>
          <w:p w14:paraId="5D0C7F08" w14:textId="77777777" w:rsidR="00692BA7" w:rsidRPr="007D61F6" w:rsidRDefault="00692BA7" w:rsidP="00692BA7">
            <w:pPr>
              <w:jc w:val="center"/>
              <w:rPr>
                <w:b/>
                <w:sz w:val="20"/>
              </w:rPr>
            </w:pPr>
          </w:p>
        </w:tc>
        <w:tc>
          <w:tcPr>
            <w:tcW w:w="2126" w:type="dxa"/>
          </w:tcPr>
          <w:p w14:paraId="7AA20179" w14:textId="6F6A5359" w:rsidR="00692BA7" w:rsidRPr="00942379" w:rsidRDefault="00692BA7" w:rsidP="00692BA7">
            <w:pPr>
              <w:jc w:val="center"/>
              <w:rPr>
                <w:b/>
                <w:sz w:val="22"/>
                <w:szCs w:val="22"/>
              </w:rPr>
            </w:pPr>
          </w:p>
        </w:tc>
      </w:tr>
      <w:tr w:rsidR="00692BA7" w:rsidRPr="00104922" w14:paraId="53CF5B93" w14:textId="77777777" w:rsidTr="00692BA7">
        <w:trPr>
          <w:trHeight w:val="461"/>
        </w:trPr>
        <w:tc>
          <w:tcPr>
            <w:tcW w:w="3114" w:type="dxa"/>
            <w:gridSpan w:val="2"/>
          </w:tcPr>
          <w:p w14:paraId="37191CBF" w14:textId="77777777" w:rsidR="00692BA7" w:rsidRPr="00D1407F" w:rsidRDefault="00692BA7" w:rsidP="00692BA7">
            <w:pPr>
              <w:jc w:val="both"/>
              <w:rPr>
                <w:sz w:val="20"/>
              </w:rPr>
            </w:pPr>
            <w:r w:rsidRPr="00D1407F">
              <w:rPr>
                <w:sz w:val="20"/>
              </w:rPr>
              <w:t>2.2.1.3 установить приемлемые способы обеспечения прослеживаемости и оценивать их реализацию органами по оценке соответствия (согласно политике ILAC P10);</w:t>
            </w:r>
          </w:p>
        </w:tc>
        <w:tc>
          <w:tcPr>
            <w:tcW w:w="3260" w:type="dxa"/>
            <w:gridSpan w:val="3"/>
          </w:tcPr>
          <w:p w14:paraId="59709B8F" w14:textId="77777777" w:rsidR="00692BA7" w:rsidRPr="00D1407F" w:rsidRDefault="00692BA7" w:rsidP="00692BA7">
            <w:pPr>
              <w:jc w:val="both"/>
              <w:rPr>
                <w:sz w:val="20"/>
              </w:rPr>
            </w:pPr>
            <w:r w:rsidRPr="00D1407F">
              <w:rPr>
                <w:sz w:val="20"/>
              </w:rPr>
              <w:t xml:space="preserve">2.2.1.3 установить приемлемые способы обеспечения </w:t>
            </w:r>
            <w:r w:rsidRPr="00D1407F">
              <w:rPr>
                <w:b/>
                <w:bCs/>
                <w:sz w:val="20"/>
              </w:rPr>
              <w:t>метрологической прослеживаемости результатов измерений</w:t>
            </w:r>
            <w:r w:rsidRPr="00D1407F">
              <w:rPr>
                <w:sz w:val="20"/>
              </w:rPr>
              <w:t xml:space="preserve"> и оценивать их реализацию органами по оценке соответствия (согласно политике ILAC P10);</w:t>
            </w:r>
          </w:p>
        </w:tc>
        <w:tc>
          <w:tcPr>
            <w:tcW w:w="3686" w:type="dxa"/>
            <w:gridSpan w:val="2"/>
          </w:tcPr>
          <w:p w14:paraId="500CA46D" w14:textId="77777777" w:rsidR="00692BA7" w:rsidRPr="00D1407F" w:rsidRDefault="00692BA7" w:rsidP="00692BA7">
            <w:pPr>
              <w:jc w:val="both"/>
              <w:rPr>
                <w:sz w:val="20"/>
              </w:rPr>
            </w:pPr>
          </w:p>
        </w:tc>
        <w:tc>
          <w:tcPr>
            <w:tcW w:w="2551" w:type="dxa"/>
          </w:tcPr>
          <w:p w14:paraId="70E97CA8" w14:textId="105204B5" w:rsidR="00692BA7" w:rsidRPr="007D61F6" w:rsidRDefault="00692BA7" w:rsidP="00692BA7">
            <w:pPr>
              <w:jc w:val="both"/>
              <w:rPr>
                <w:bCs/>
                <w:i/>
                <w:iCs/>
                <w:sz w:val="20"/>
              </w:rPr>
            </w:pPr>
            <w:r w:rsidRPr="00692BA7">
              <w:rPr>
                <w:bCs/>
                <w:i/>
                <w:iCs/>
                <w:sz w:val="20"/>
              </w:rPr>
              <w:t>Предлагаем обсудить в рамках очередного заседания совместно с предложением КЦА по данному пункту и принять</w:t>
            </w:r>
          </w:p>
          <w:p w14:paraId="3C6419CC" w14:textId="77777777" w:rsidR="00FF0B79" w:rsidRPr="007D61F6" w:rsidRDefault="00FF0B79" w:rsidP="00692BA7">
            <w:pPr>
              <w:jc w:val="both"/>
              <w:rPr>
                <w:bCs/>
                <w:i/>
                <w:iCs/>
                <w:sz w:val="20"/>
              </w:rPr>
            </w:pPr>
          </w:p>
          <w:p w14:paraId="5FD8BF6A" w14:textId="77777777" w:rsidR="00FF0B79" w:rsidRPr="00FF0B79" w:rsidRDefault="00FF0B79" w:rsidP="00FF0B79">
            <w:pPr>
              <w:jc w:val="both"/>
              <w:rPr>
                <w:bCs/>
                <w:i/>
                <w:iCs/>
                <w:sz w:val="20"/>
                <w:lang w:val="en-US"/>
              </w:rPr>
            </w:pPr>
            <w:r w:rsidRPr="00FF0B79">
              <w:rPr>
                <w:bCs/>
                <w:i/>
                <w:iCs/>
                <w:sz w:val="20"/>
              </w:rPr>
              <w:t>Примечание</w:t>
            </w:r>
            <w:r w:rsidRPr="00FF0B79">
              <w:rPr>
                <w:bCs/>
                <w:i/>
                <w:iCs/>
                <w:sz w:val="20"/>
                <w:lang w:val="en-US"/>
              </w:rPr>
              <w:t>:</w:t>
            </w:r>
          </w:p>
          <w:p w14:paraId="19344065" w14:textId="77777777" w:rsidR="00FF0B79" w:rsidRPr="00FF0B79" w:rsidRDefault="00FF0B79" w:rsidP="00FF0B79">
            <w:pPr>
              <w:tabs>
                <w:tab w:val="left" w:pos="14092"/>
              </w:tabs>
              <w:ind w:left="33"/>
              <w:rPr>
                <w:rFonts w:eastAsia="Calibri"/>
                <w:i/>
                <w:iCs/>
                <w:sz w:val="20"/>
                <w:lang w:val="en-US" w:eastAsia="en-US"/>
              </w:rPr>
            </w:pPr>
            <w:r w:rsidRPr="00FF0B79">
              <w:rPr>
                <w:rFonts w:eastAsia="Calibri"/>
                <w:i/>
                <w:iCs/>
                <w:sz w:val="20"/>
                <w:lang w:val="en-US" w:eastAsia="en-US"/>
              </w:rPr>
              <w:t>IAF/ILAC-A2:01/2018</w:t>
            </w:r>
          </w:p>
          <w:p w14:paraId="110B6821" w14:textId="19499824" w:rsidR="00692BA7" w:rsidRPr="007D61F6" w:rsidRDefault="00FF0B79" w:rsidP="00FF0B79">
            <w:pPr>
              <w:jc w:val="both"/>
              <w:rPr>
                <w:b/>
                <w:sz w:val="20"/>
                <w:lang w:val="en-US"/>
              </w:rPr>
            </w:pPr>
            <w:r w:rsidRPr="007D61F6">
              <w:rPr>
                <w:rFonts w:eastAsia="Calibri"/>
                <w:i/>
                <w:iCs/>
                <w:sz w:val="20"/>
                <w:lang w:val="en-US" w:eastAsia="en-US"/>
              </w:rPr>
              <w:t>2.2.1.3 Specify the acceptable routes for traceability, and assess its implementation by CABs (ILAC applicant and signatory ABs: see ILAC P10).</w:t>
            </w:r>
          </w:p>
        </w:tc>
        <w:tc>
          <w:tcPr>
            <w:tcW w:w="2126" w:type="dxa"/>
          </w:tcPr>
          <w:p w14:paraId="100CBD85" w14:textId="43723FEE" w:rsidR="00692BA7" w:rsidRPr="00FF0B79" w:rsidRDefault="00692BA7" w:rsidP="00692BA7">
            <w:pPr>
              <w:jc w:val="center"/>
              <w:rPr>
                <w:b/>
                <w:sz w:val="22"/>
                <w:szCs w:val="22"/>
                <w:lang w:val="en-US"/>
              </w:rPr>
            </w:pPr>
          </w:p>
        </w:tc>
      </w:tr>
      <w:tr w:rsidR="00692BA7" w:rsidRPr="007067AE" w14:paraId="74AC7901" w14:textId="77777777" w:rsidTr="00692BA7">
        <w:trPr>
          <w:trHeight w:val="461"/>
        </w:trPr>
        <w:tc>
          <w:tcPr>
            <w:tcW w:w="3114" w:type="dxa"/>
            <w:gridSpan w:val="2"/>
          </w:tcPr>
          <w:p w14:paraId="54F90273" w14:textId="77777777" w:rsidR="00692BA7" w:rsidRPr="00D1407F" w:rsidRDefault="00692BA7" w:rsidP="00692BA7">
            <w:pPr>
              <w:jc w:val="both"/>
              <w:rPr>
                <w:sz w:val="20"/>
              </w:rPr>
            </w:pPr>
            <w:r w:rsidRPr="00D1407F">
              <w:rPr>
                <w:sz w:val="20"/>
              </w:rPr>
              <w:lastRenderedPageBreak/>
              <w:t>2.2.1.5 соблюдать требования и обязательства, определяемые ЕААС для достижения целей ЕААС;</w:t>
            </w:r>
          </w:p>
        </w:tc>
        <w:tc>
          <w:tcPr>
            <w:tcW w:w="3260" w:type="dxa"/>
            <w:gridSpan w:val="3"/>
          </w:tcPr>
          <w:p w14:paraId="6FDFCCC4" w14:textId="77777777" w:rsidR="00692BA7" w:rsidRPr="00D1407F" w:rsidRDefault="00692BA7" w:rsidP="00692BA7">
            <w:pPr>
              <w:jc w:val="both"/>
              <w:rPr>
                <w:sz w:val="20"/>
              </w:rPr>
            </w:pPr>
          </w:p>
        </w:tc>
        <w:tc>
          <w:tcPr>
            <w:tcW w:w="3686" w:type="dxa"/>
            <w:gridSpan w:val="2"/>
          </w:tcPr>
          <w:p w14:paraId="77BF76FB" w14:textId="77777777" w:rsidR="00692BA7" w:rsidRPr="00D1407F" w:rsidRDefault="00692BA7" w:rsidP="00692BA7">
            <w:pPr>
              <w:jc w:val="both"/>
              <w:rPr>
                <w:sz w:val="20"/>
              </w:rPr>
            </w:pPr>
            <w:r w:rsidRPr="00D1407F">
              <w:rPr>
                <w:sz w:val="20"/>
              </w:rPr>
              <w:t xml:space="preserve">Необходимо </w:t>
            </w:r>
            <w:r w:rsidRPr="00D1407F">
              <w:rPr>
                <w:sz w:val="20"/>
                <w:lang w:val="kk-KZ"/>
              </w:rPr>
              <w:t>конкретизировать</w:t>
            </w:r>
            <w:r w:rsidRPr="00D1407F">
              <w:rPr>
                <w:sz w:val="20"/>
              </w:rPr>
              <w:t>, в каком документе будут определяться требования и обязательства к органам по аккредитации.</w:t>
            </w:r>
          </w:p>
          <w:p w14:paraId="07447E16" w14:textId="77777777" w:rsidR="00692BA7" w:rsidRPr="00D1407F" w:rsidRDefault="00692BA7" w:rsidP="00692BA7">
            <w:pPr>
              <w:jc w:val="both"/>
              <w:rPr>
                <w:sz w:val="20"/>
              </w:rPr>
            </w:pPr>
          </w:p>
          <w:p w14:paraId="69A5D20E" w14:textId="77777777" w:rsidR="00692BA7" w:rsidRPr="00D1407F" w:rsidRDefault="00692BA7" w:rsidP="00692BA7">
            <w:pPr>
              <w:jc w:val="both"/>
              <w:rPr>
                <w:sz w:val="20"/>
              </w:rPr>
            </w:pPr>
            <w:r w:rsidRPr="00D1407F">
              <w:rPr>
                <w:sz w:val="20"/>
              </w:rPr>
              <w:t>IAF/ILAC-A2:01/2018</w:t>
            </w:r>
          </w:p>
          <w:p w14:paraId="1978488B" w14:textId="77777777" w:rsidR="00692BA7" w:rsidRPr="00D1407F" w:rsidRDefault="00692BA7" w:rsidP="00692BA7">
            <w:pPr>
              <w:jc w:val="both"/>
              <w:rPr>
                <w:sz w:val="20"/>
              </w:rPr>
            </w:pPr>
            <w:r w:rsidRPr="00D1407F">
              <w:rPr>
                <w:sz w:val="20"/>
              </w:rPr>
              <w:t>2.2.1.5 Соблюдать требования и обязательства применимого регионального или международного Соглашения(</w:t>
            </w:r>
            <w:proofErr w:type="spellStart"/>
            <w:r w:rsidRPr="00D1407F">
              <w:rPr>
                <w:sz w:val="20"/>
              </w:rPr>
              <w:t>ий</w:t>
            </w:r>
            <w:proofErr w:type="spellEnd"/>
            <w:r w:rsidRPr="00D1407F">
              <w:rPr>
                <w:sz w:val="20"/>
              </w:rPr>
              <w:t>);</w:t>
            </w:r>
          </w:p>
        </w:tc>
        <w:tc>
          <w:tcPr>
            <w:tcW w:w="2551" w:type="dxa"/>
          </w:tcPr>
          <w:p w14:paraId="73860E20" w14:textId="358B559E" w:rsidR="00692BA7" w:rsidRPr="00FC643B" w:rsidRDefault="00692BA7" w:rsidP="00FC643B">
            <w:pPr>
              <w:jc w:val="both"/>
              <w:rPr>
                <w:bCs/>
                <w:i/>
                <w:iCs/>
                <w:sz w:val="20"/>
              </w:rPr>
            </w:pPr>
            <w:r w:rsidRPr="00692BA7">
              <w:rPr>
                <w:bCs/>
                <w:i/>
                <w:iCs/>
                <w:sz w:val="20"/>
              </w:rPr>
              <w:t xml:space="preserve">Предлагаем обсудить в рамках очередного заседания </w:t>
            </w:r>
            <w:r w:rsidR="00FC643B">
              <w:rPr>
                <w:bCs/>
                <w:i/>
                <w:iCs/>
                <w:sz w:val="20"/>
              </w:rPr>
              <w:t>в</w:t>
            </w:r>
            <w:r w:rsidRPr="00FC643B">
              <w:rPr>
                <w:bCs/>
                <w:i/>
                <w:iCs/>
                <w:sz w:val="20"/>
              </w:rPr>
              <w:t>озможность конкретизации в документе Договоренность о взаимном признании аккредитации</w:t>
            </w:r>
            <w:r w:rsidR="00FC643B">
              <w:rPr>
                <w:bCs/>
                <w:i/>
                <w:iCs/>
                <w:sz w:val="20"/>
              </w:rPr>
              <w:t>.</w:t>
            </w:r>
          </w:p>
        </w:tc>
        <w:tc>
          <w:tcPr>
            <w:tcW w:w="2126" w:type="dxa"/>
          </w:tcPr>
          <w:p w14:paraId="3683ADBA" w14:textId="7DA66538" w:rsidR="00692BA7" w:rsidRPr="00942379" w:rsidRDefault="00692BA7" w:rsidP="00692BA7">
            <w:pPr>
              <w:jc w:val="center"/>
              <w:rPr>
                <w:b/>
                <w:sz w:val="22"/>
                <w:szCs w:val="22"/>
              </w:rPr>
            </w:pPr>
          </w:p>
        </w:tc>
      </w:tr>
      <w:tr w:rsidR="00692BA7" w:rsidRPr="00104922" w14:paraId="6CE45321" w14:textId="77777777" w:rsidTr="00692BA7">
        <w:trPr>
          <w:trHeight w:val="461"/>
        </w:trPr>
        <w:tc>
          <w:tcPr>
            <w:tcW w:w="3114" w:type="dxa"/>
            <w:gridSpan w:val="2"/>
          </w:tcPr>
          <w:p w14:paraId="17AB23A9" w14:textId="77777777" w:rsidR="00692BA7" w:rsidRPr="00D1407F" w:rsidRDefault="00692BA7" w:rsidP="00692BA7">
            <w:pPr>
              <w:jc w:val="both"/>
              <w:rPr>
                <w:sz w:val="20"/>
              </w:rPr>
            </w:pPr>
            <w:r w:rsidRPr="00D1407F">
              <w:rPr>
                <w:sz w:val="20"/>
              </w:rPr>
              <w:t>2.2.1.7 предоставлять человеческие ресурсы для целей ЕААС, в т.ч. для проведения паритетных оценок в рамках ЕААС и на глобальном уровне;</w:t>
            </w:r>
          </w:p>
        </w:tc>
        <w:tc>
          <w:tcPr>
            <w:tcW w:w="3260" w:type="dxa"/>
            <w:gridSpan w:val="3"/>
          </w:tcPr>
          <w:p w14:paraId="1B83CD75" w14:textId="77777777" w:rsidR="00692BA7" w:rsidRPr="00D1407F" w:rsidRDefault="00692BA7" w:rsidP="00692BA7">
            <w:pPr>
              <w:jc w:val="both"/>
              <w:rPr>
                <w:sz w:val="20"/>
              </w:rPr>
            </w:pPr>
            <w:r w:rsidRPr="00D1407F">
              <w:rPr>
                <w:sz w:val="20"/>
              </w:rPr>
              <w:t xml:space="preserve">2.2.1.7 предоставлять </w:t>
            </w:r>
            <w:r w:rsidRPr="00D1407F">
              <w:rPr>
                <w:b/>
                <w:bCs/>
                <w:sz w:val="20"/>
              </w:rPr>
              <w:t>человеческие ресурсы для проведения</w:t>
            </w:r>
            <w:r w:rsidRPr="00D1407F">
              <w:rPr>
                <w:b/>
                <w:bCs/>
                <w:sz w:val="20"/>
                <w:lang w:val="kk-KZ"/>
              </w:rPr>
              <w:t xml:space="preserve"> </w:t>
            </w:r>
            <w:r w:rsidRPr="00D1407F">
              <w:rPr>
                <w:b/>
                <w:bCs/>
                <w:sz w:val="20"/>
              </w:rPr>
              <w:t>паритетных оценок в рамках ЕААС;</w:t>
            </w:r>
          </w:p>
        </w:tc>
        <w:tc>
          <w:tcPr>
            <w:tcW w:w="3686" w:type="dxa"/>
            <w:gridSpan w:val="2"/>
          </w:tcPr>
          <w:p w14:paraId="2A6DCAC9" w14:textId="77777777" w:rsidR="00692BA7" w:rsidRPr="00D1407F" w:rsidRDefault="00692BA7" w:rsidP="00692BA7">
            <w:pPr>
              <w:jc w:val="both"/>
              <w:rPr>
                <w:sz w:val="20"/>
              </w:rPr>
            </w:pPr>
            <w:r w:rsidRPr="00D1407F">
              <w:rPr>
                <w:sz w:val="20"/>
              </w:rPr>
              <w:t>Данный документ освещает порядок проведения паритетных оценок, в этой связи предлагается исключить «на глобальном уровне».</w:t>
            </w:r>
          </w:p>
        </w:tc>
        <w:tc>
          <w:tcPr>
            <w:tcW w:w="2551" w:type="dxa"/>
          </w:tcPr>
          <w:p w14:paraId="01F2B622" w14:textId="3D605B46" w:rsidR="00692BA7" w:rsidRPr="007D61F6" w:rsidRDefault="00692BA7" w:rsidP="00692BA7">
            <w:pPr>
              <w:jc w:val="both"/>
              <w:rPr>
                <w:bCs/>
                <w:i/>
                <w:iCs/>
                <w:sz w:val="20"/>
              </w:rPr>
            </w:pPr>
            <w:r w:rsidRPr="00692BA7">
              <w:rPr>
                <w:bCs/>
                <w:i/>
                <w:iCs/>
                <w:sz w:val="20"/>
              </w:rPr>
              <w:t>Предлагаем обсудить в рамках очередного заседания.</w:t>
            </w:r>
          </w:p>
          <w:p w14:paraId="3590E29C" w14:textId="77777777" w:rsidR="00FF0B79" w:rsidRPr="00692BA7" w:rsidRDefault="00FF0B79" w:rsidP="00692BA7">
            <w:pPr>
              <w:jc w:val="both"/>
              <w:rPr>
                <w:bCs/>
                <w:i/>
                <w:iCs/>
                <w:sz w:val="20"/>
              </w:rPr>
            </w:pPr>
          </w:p>
          <w:p w14:paraId="1E966A38" w14:textId="77777777" w:rsidR="00FF0B79" w:rsidRPr="007D61F6" w:rsidRDefault="00FF0B79" w:rsidP="00FF0B79">
            <w:pPr>
              <w:tabs>
                <w:tab w:val="left" w:pos="14092"/>
              </w:tabs>
              <w:ind w:left="33"/>
              <w:rPr>
                <w:i/>
                <w:iCs/>
                <w:sz w:val="20"/>
                <w:lang w:val="en-US"/>
              </w:rPr>
            </w:pPr>
            <w:proofErr w:type="spellStart"/>
            <w:r w:rsidRPr="007D61F6">
              <w:rPr>
                <w:i/>
                <w:iCs/>
                <w:sz w:val="20"/>
                <w:lang w:val="en-US"/>
              </w:rPr>
              <w:t>Примечание</w:t>
            </w:r>
            <w:proofErr w:type="spellEnd"/>
            <w:r w:rsidRPr="007D61F6">
              <w:rPr>
                <w:i/>
                <w:iCs/>
                <w:sz w:val="20"/>
                <w:lang w:val="en-US"/>
              </w:rPr>
              <w:t>:</w:t>
            </w:r>
          </w:p>
          <w:p w14:paraId="0B759687" w14:textId="77777777" w:rsidR="00FF0B79" w:rsidRPr="007D61F6" w:rsidRDefault="00FF0B79" w:rsidP="00FF0B79">
            <w:pPr>
              <w:tabs>
                <w:tab w:val="left" w:pos="14092"/>
              </w:tabs>
              <w:ind w:left="33"/>
              <w:rPr>
                <w:i/>
                <w:iCs/>
                <w:sz w:val="20"/>
                <w:lang w:val="en-US"/>
              </w:rPr>
            </w:pPr>
            <w:r w:rsidRPr="007D61F6">
              <w:rPr>
                <w:i/>
                <w:iCs/>
                <w:sz w:val="20"/>
                <w:lang w:val="en-US"/>
              </w:rPr>
              <w:t>IAF/ILAC-A2:01/2018</w:t>
            </w:r>
          </w:p>
          <w:p w14:paraId="323CE0B2" w14:textId="391C64A7" w:rsidR="00692BA7" w:rsidRPr="007D61F6" w:rsidRDefault="00FF0B79" w:rsidP="00FF0B79">
            <w:pPr>
              <w:rPr>
                <w:b/>
                <w:sz w:val="20"/>
                <w:lang w:val="en-US"/>
              </w:rPr>
            </w:pPr>
            <w:r w:rsidRPr="007D61F6">
              <w:rPr>
                <w:bCs/>
                <w:i/>
                <w:iCs/>
                <w:sz w:val="20"/>
                <w:lang w:val="en-US"/>
              </w:rPr>
              <w:t>2.2.1.7 Contribute its fair share of personnel resources for carrying out peer evaluations at the regional and/or global level;</w:t>
            </w:r>
          </w:p>
        </w:tc>
        <w:tc>
          <w:tcPr>
            <w:tcW w:w="2126" w:type="dxa"/>
          </w:tcPr>
          <w:p w14:paraId="51094D39" w14:textId="78D8DA55" w:rsidR="00692BA7" w:rsidRPr="00FF0B79" w:rsidRDefault="00692BA7" w:rsidP="00692BA7">
            <w:pPr>
              <w:jc w:val="center"/>
              <w:rPr>
                <w:b/>
                <w:sz w:val="22"/>
                <w:szCs w:val="22"/>
                <w:lang w:val="en-US"/>
              </w:rPr>
            </w:pPr>
          </w:p>
        </w:tc>
      </w:tr>
      <w:tr w:rsidR="00692BA7" w:rsidRPr="00104922" w14:paraId="36675BD3" w14:textId="77777777" w:rsidTr="00692BA7">
        <w:trPr>
          <w:trHeight w:val="461"/>
        </w:trPr>
        <w:tc>
          <w:tcPr>
            <w:tcW w:w="3114" w:type="dxa"/>
            <w:gridSpan w:val="2"/>
          </w:tcPr>
          <w:p w14:paraId="0E560783" w14:textId="77777777" w:rsidR="00692BA7" w:rsidRPr="00D1407F" w:rsidRDefault="00692BA7" w:rsidP="00692BA7">
            <w:pPr>
              <w:jc w:val="both"/>
              <w:rPr>
                <w:sz w:val="20"/>
              </w:rPr>
            </w:pPr>
            <w:r w:rsidRPr="00D1407F">
              <w:rPr>
                <w:sz w:val="20"/>
              </w:rPr>
              <w:t>2.2.1.8 внедрить политику по трансграничной аккредитации в соответствии с положениями документов IAF и ILAC G21;</w:t>
            </w:r>
          </w:p>
        </w:tc>
        <w:tc>
          <w:tcPr>
            <w:tcW w:w="3260" w:type="dxa"/>
            <w:gridSpan w:val="3"/>
          </w:tcPr>
          <w:p w14:paraId="156ADD12" w14:textId="77777777" w:rsidR="00692BA7" w:rsidRPr="00D1407F" w:rsidRDefault="00692BA7" w:rsidP="00692BA7">
            <w:pPr>
              <w:jc w:val="both"/>
              <w:rPr>
                <w:sz w:val="20"/>
              </w:rPr>
            </w:pPr>
            <w:r w:rsidRPr="00D1407F">
              <w:rPr>
                <w:sz w:val="20"/>
              </w:rPr>
              <w:t xml:space="preserve">2.2.1.8 внедрить политику по трансграничной аккредитации в соответствии с положениями документов IAF </w:t>
            </w:r>
            <w:r w:rsidRPr="00D1407F">
              <w:rPr>
                <w:b/>
                <w:bCs/>
                <w:sz w:val="20"/>
              </w:rPr>
              <w:t xml:space="preserve">(для подписантов </w:t>
            </w:r>
            <w:r w:rsidRPr="00D1407F">
              <w:rPr>
                <w:b/>
                <w:bCs/>
                <w:sz w:val="20"/>
                <w:lang w:val="en-US"/>
              </w:rPr>
              <w:t>IAF</w:t>
            </w:r>
            <w:r w:rsidRPr="00D1407F">
              <w:rPr>
                <w:b/>
                <w:bCs/>
                <w:sz w:val="20"/>
              </w:rPr>
              <w:t xml:space="preserve">) </w:t>
            </w:r>
            <w:r w:rsidRPr="00D1407F">
              <w:rPr>
                <w:sz w:val="20"/>
              </w:rPr>
              <w:t xml:space="preserve">и ILAC G21 </w:t>
            </w:r>
            <w:r w:rsidRPr="00D1407F">
              <w:rPr>
                <w:b/>
                <w:bCs/>
                <w:sz w:val="20"/>
              </w:rPr>
              <w:t xml:space="preserve">(для подписантов </w:t>
            </w:r>
            <w:r w:rsidRPr="00D1407F">
              <w:rPr>
                <w:b/>
                <w:bCs/>
                <w:sz w:val="20"/>
                <w:lang w:val="en-US"/>
              </w:rPr>
              <w:t>ILAC</w:t>
            </w:r>
            <w:r w:rsidRPr="00D1407F">
              <w:rPr>
                <w:b/>
                <w:bCs/>
                <w:sz w:val="20"/>
              </w:rPr>
              <w:t>);</w:t>
            </w:r>
          </w:p>
        </w:tc>
        <w:tc>
          <w:tcPr>
            <w:tcW w:w="3686" w:type="dxa"/>
            <w:gridSpan w:val="2"/>
          </w:tcPr>
          <w:p w14:paraId="3FAFC305" w14:textId="77777777" w:rsidR="00692BA7" w:rsidRPr="00D1407F" w:rsidRDefault="00692BA7" w:rsidP="00692BA7">
            <w:pPr>
              <w:jc w:val="both"/>
              <w:rPr>
                <w:sz w:val="20"/>
              </w:rPr>
            </w:pPr>
          </w:p>
        </w:tc>
        <w:tc>
          <w:tcPr>
            <w:tcW w:w="2551" w:type="dxa"/>
          </w:tcPr>
          <w:p w14:paraId="7C4A2E35" w14:textId="349A7435" w:rsidR="00692BA7" w:rsidRPr="005C68E5" w:rsidRDefault="00692BA7" w:rsidP="00692BA7">
            <w:pPr>
              <w:jc w:val="both"/>
              <w:rPr>
                <w:bCs/>
                <w:i/>
                <w:iCs/>
                <w:sz w:val="20"/>
                <w:lang w:val="en-US"/>
              </w:rPr>
            </w:pPr>
            <w:r w:rsidRPr="00692BA7">
              <w:rPr>
                <w:bCs/>
                <w:i/>
                <w:iCs/>
                <w:sz w:val="20"/>
              </w:rPr>
              <w:t>Предлагаем принять, а также обсудить в рамках очередного заседания совместно с предложением КЦА по данному пункту.</w:t>
            </w:r>
            <w:r w:rsidR="00361D57">
              <w:rPr>
                <w:bCs/>
                <w:i/>
                <w:iCs/>
                <w:sz w:val="20"/>
              </w:rPr>
              <w:t xml:space="preserve"> </w:t>
            </w:r>
            <w:r w:rsidR="00361D57" w:rsidRPr="005C68E5">
              <w:rPr>
                <w:bCs/>
                <w:i/>
                <w:iCs/>
                <w:sz w:val="20"/>
                <w:lang w:val="en-US"/>
              </w:rPr>
              <w:t>(</w:t>
            </w:r>
            <w:proofErr w:type="spellStart"/>
            <w:r w:rsidR="00361D57">
              <w:rPr>
                <w:bCs/>
                <w:i/>
                <w:iCs/>
                <w:sz w:val="20"/>
              </w:rPr>
              <w:t>стр</w:t>
            </w:r>
            <w:proofErr w:type="spellEnd"/>
            <w:r w:rsidR="00361D57" w:rsidRPr="005C68E5">
              <w:rPr>
                <w:bCs/>
                <w:i/>
                <w:iCs/>
                <w:sz w:val="20"/>
                <w:lang w:val="en-US"/>
              </w:rPr>
              <w:t>.10)</w:t>
            </w:r>
          </w:p>
          <w:p w14:paraId="0B890800" w14:textId="77777777" w:rsidR="00FF0B79" w:rsidRPr="005C68E5" w:rsidRDefault="00FF0B79" w:rsidP="00692BA7">
            <w:pPr>
              <w:jc w:val="both"/>
              <w:rPr>
                <w:bCs/>
                <w:i/>
                <w:iCs/>
                <w:sz w:val="20"/>
                <w:lang w:val="en-US"/>
              </w:rPr>
            </w:pPr>
          </w:p>
          <w:p w14:paraId="1B788B91" w14:textId="77777777" w:rsidR="00FF0B79" w:rsidRPr="007D61F6" w:rsidRDefault="00FF0B79" w:rsidP="00FF0B79">
            <w:pPr>
              <w:jc w:val="both"/>
              <w:rPr>
                <w:bCs/>
                <w:i/>
                <w:iCs/>
                <w:sz w:val="20"/>
                <w:lang w:val="en-US"/>
              </w:rPr>
            </w:pPr>
            <w:proofErr w:type="spellStart"/>
            <w:r w:rsidRPr="007D61F6">
              <w:rPr>
                <w:bCs/>
                <w:i/>
                <w:iCs/>
                <w:sz w:val="20"/>
                <w:lang w:val="en-US"/>
              </w:rPr>
              <w:t>Примечание</w:t>
            </w:r>
            <w:proofErr w:type="spellEnd"/>
            <w:r w:rsidRPr="007D61F6">
              <w:rPr>
                <w:bCs/>
                <w:i/>
                <w:iCs/>
                <w:sz w:val="20"/>
                <w:lang w:val="en-US"/>
              </w:rPr>
              <w:t>:</w:t>
            </w:r>
          </w:p>
          <w:p w14:paraId="7A8F0A12" w14:textId="77777777" w:rsidR="00FF0B79" w:rsidRPr="007D61F6" w:rsidRDefault="00FF0B79" w:rsidP="00FF0B79">
            <w:pPr>
              <w:jc w:val="both"/>
              <w:rPr>
                <w:bCs/>
                <w:i/>
                <w:iCs/>
                <w:sz w:val="20"/>
                <w:lang w:val="en-US"/>
              </w:rPr>
            </w:pPr>
            <w:r w:rsidRPr="007D61F6">
              <w:rPr>
                <w:bCs/>
                <w:i/>
                <w:iCs/>
                <w:sz w:val="20"/>
                <w:lang w:val="en-US"/>
              </w:rPr>
              <w:t>IAF/ILAC-A2:01/2018</w:t>
            </w:r>
          </w:p>
          <w:p w14:paraId="590D3A39" w14:textId="5C8250EB" w:rsidR="00FF0B79" w:rsidRPr="007D61F6" w:rsidRDefault="00FF0B79" w:rsidP="00FF0B79">
            <w:pPr>
              <w:jc w:val="both"/>
              <w:rPr>
                <w:b/>
                <w:sz w:val="20"/>
                <w:lang w:val="en-US"/>
              </w:rPr>
            </w:pPr>
            <w:r w:rsidRPr="007D61F6">
              <w:rPr>
                <w:bCs/>
                <w:i/>
                <w:iCs/>
                <w:sz w:val="20"/>
                <w:lang w:val="en-US"/>
              </w:rPr>
              <w:t>2.2.1.8 Have implemented a cross frontier accreditation policy in accordance with the relevant IAF document(s) (for IAF signatories) or taking into account ILAC Guide 21 (for ILAC signatories).</w:t>
            </w:r>
          </w:p>
        </w:tc>
        <w:tc>
          <w:tcPr>
            <w:tcW w:w="2126" w:type="dxa"/>
          </w:tcPr>
          <w:p w14:paraId="54D97B98" w14:textId="6484E334" w:rsidR="00692BA7" w:rsidRPr="00FF0B79" w:rsidRDefault="00692BA7" w:rsidP="00692BA7">
            <w:pPr>
              <w:jc w:val="center"/>
              <w:rPr>
                <w:b/>
                <w:sz w:val="22"/>
                <w:szCs w:val="22"/>
                <w:lang w:val="en-US"/>
              </w:rPr>
            </w:pPr>
          </w:p>
        </w:tc>
      </w:tr>
      <w:tr w:rsidR="00692BA7" w:rsidRPr="00104922" w14:paraId="256EF61E" w14:textId="77777777" w:rsidTr="00692BA7">
        <w:trPr>
          <w:trHeight w:val="461"/>
        </w:trPr>
        <w:tc>
          <w:tcPr>
            <w:tcW w:w="3114" w:type="dxa"/>
            <w:gridSpan w:val="2"/>
          </w:tcPr>
          <w:p w14:paraId="363A6CD1" w14:textId="77777777" w:rsidR="00692BA7" w:rsidRPr="00D1407F" w:rsidRDefault="00692BA7" w:rsidP="00692BA7">
            <w:pPr>
              <w:jc w:val="both"/>
              <w:rPr>
                <w:sz w:val="20"/>
              </w:rPr>
            </w:pPr>
            <w:r w:rsidRPr="00D1407F">
              <w:rPr>
                <w:sz w:val="20"/>
              </w:rPr>
              <w:t>2.3.2 Уведомление об изменениях</w:t>
            </w:r>
          </w:p>
          <w:p w14:paraId="7A6D6C7B" w14:textId="77777777" w:rsidR="00692BA7" w:rsidRPr="00D1407F" w:rsidRDefault="00692BA7" w:rsidP="00692BA7">
            <w:pPr>
              <w:jc w:val="both"/>
              <w:rPr>
                <w:sz w:val="20"/>
              </w:rPr>
            </w:pPr>
            <w:r w:rsidRPr="00D1407F">
              <w:rPr>
                <w:sz w:val="20"/>
              </w:rPr>
              <w:t xml:space="preserve">2.2.2.1 Каждый орган по аккредитации-подписант Договоренности ЕААС должен </w:t>
            </w:r>
            <w:r w:rsidRPr="00D1407F">
              <w:rPr>
                <w:sz w:val="20"/>
              </w:rPr>
              <w:lastRenderedPageBreak/>
              <w:t>безотлагательно уведомить Совет ЕААС по Договоренности через Секретариат (на обсуждение членов РГ) о любых существенных изменениях в своем статусе и/или деятельности, как например (2.2.2 IAF/ILAC-A2:01/2018):</w:t>
            </w:r>
          </w:p>
          <w:p w14:paraId="52E7B3BA" w14:textId="77777777" w:rsidR="00692BA7" w:rsidRPr="00D1407F" w:rsidRDefault="00692BA7" w:rsidP="00692BA7">
            <w:pPr>
              <w:jc w:val="both"/>
              <w:rPr>
                <w:sz w:val="20"/>
              </w:rPr>
            </w:pPr>
            <w:r w:rsidRPr="00D1407F">
              <w:rPr>
                <w:sz w:val="20"/>
              </w:rPr>
              <w:t>− юридический статус;</w:t>
            </w:r>
          </w:p>
          <w:p w14:paraId="1DE6C8F4" w14:textId="77777777" w:rsidR="00692BA7" w:rsidRPr="00D1407F" w:rsidRDefault="00692BA7" w:rsidP="00692BA7">
            <w:pPr>
              <w:jc w:val="both"/>
              <w:rPr>
                <w:sz w:val="20"/>
              </w:rPr>
            </w:pPr>
            <w:r w:rsidRPr="00D1407F">
              <w:rPr>
                <w:sz w:val="20"/>
              </w:rPr>
              <w:t>− ведомственная подчиненность органа по аккредитации и порядок</w:t>
            </w:r>
          </w:p>
          <w:p w14:paraId="39B7FF13" w14:textId="77777777" w:rsidR="00692BA7" w:rsidRPr="00D1407F" w:rsidRDefault="00692BA7" w:rsidP="00692BA7">
            <w:pPr>
              <w:jc w:val="both"/>
              <w:rPr>
                <w:sz w:val="20"/>
              </w:rPr>
            </w:pPr>
            <w:r w:rsidRPr="00D1407F">
              <w:rPr>
                <w:sz w:val="20"/>
              </w:rPr>
              <w:t>взаимодействия с регулирующим органом;</w:t>
            </w:r>
          </w:p>
          <w:p w14:paraId="62C14BD9" w14:textId="77777777" w:rsidR="00692BA7" w:rsidRPr="00D1407F" w:rsidRDefault="00692BA7" w:rsidP="00692BA7">
            <w:pPr>
              <w:jc w:val="both"/>
              <w:rPr>
                <w:sz w:val="20"/>
              </w:rPr>
            </w:pPr>
            <w:r w:rsidRPr="00D1407F">
              <w:rPr>
                <w:sz w:val="20"/>
              </w:rPr>
              <w:t>− ключевой/руководящий персонал по аккредитации;</w:t>
            </w:r>
          </w:p>
          <w:p w14:paraId="2C87BCC5" w14:textId="77777777" w:rsidR="00692BA7" w:rsidRPr="00D1407F" w:rsidRDefault="00692BA7" w:rsidP="00692BA7">
            <w:pPr>
              <w:jc w:val="both"/>
              <w:rPr>
                <w:sz w:val="20"/>
              </w:rPr>
            </w:pPr>
            <w:r w:rsidRPr="00D1407F">
              <w:rPr>
                <w:sz w:val="20"/>
              </w:rPr>
              <w:t>− организационная структура;</w:t>
            </w:r>
          </w:p>
          <w:p w14:paraId="6E618B7C" w14:textId="77777777" w:rsidR="00692BA7" w:rsidRPr="00D1407F" w:rsidRDefault="00692BA7" w:rsidP="00692BA7">
            <w:pPr>
              <w:jc w:val="both"/>
              <w:rPr>
                <w:sz w:val="20"/>
              </w:rPr>
            </w:pPr>
            <w:r w:rsidRPr="00D1407F">
              <w:rPr>
                <w:sz w:val="20"/>
              </w:rPr>
              <w:t>− контактные лица и/или официальные представители органа по аккредитации в</w:t>
            </w:r>
          </w:p>
          <w:p w14:paraId="2F30FD8C" w14:textId="77777777" w:rsidR="00692BA7" w:rsidRPr="00D1407F" w:rsidRDefault="00692BA7" w:rsidP="00692BA7">
            <w:pPr>
              <w:jc w:val="both"/>
              <w:rPr>
                <w:sz w:val="20"/>
              </w:rPr>
            </w:pPr>
            <w:r w:rsidRPr="00D1407F">
              <w:rPr>
                <w:sz w:val="20"/>
              </w:rPr>
              <w:t>ЕААС;</w:t>
            </w:r>
          </w:p>
          <w:p w14:paraId="057BB41D" w14:textId="77777777" w:rsidR="00692BA7" w:rsidRPr="00D1407F" w:rsidRDefault="00692BA7" w:rsidP="00692BA7">
            <w:pPr>
              <w:jc w:val="both"/>
              <w:rPr>
                <w:sz w:val="20"/>
              </w:rPr>
            </w:pPr>
            <w:r w:rsidRPr="00D1407F">
              <w:rPr>
                <w:sz w:val="20"/>
              </w:rPr>
              <w:t>− критерии аккредитации и процедуры аккредитации, относящиеся к</w:t>
            </w:r>
          </w:p>
          <w:p w14:paraId="75B95E40" w14:textId="77777777" w:rsidR="00692BA7" w:rsidRPr="00D1407F" w:rsidRDefault="00692BA7" w:rsidP="00692BA7">
            <w:pPr>
              <w:jc w:val="both"/>
              <w:rPr>
                <w:sz w:val="20"/>
              </w:rPr>
            </w:pPr>
            <w:r w:rsidRPr="00D1407F">
              <w:rPr>
                <w:sz w:val="20"/>
              </w:rPr>
              <w:t>Договоренности ЕААС;</w:t>
            </w:r>
          </w:p>
          <w:p w14:paraId="6361B369" w14:textId="77777777" w:rsidR="00692BA7" w:rsidRPr="00D1407F" w:rsidRDefault="00692BA7" w:rsidP="00692BA7">
            <w:pPr>
              <w:jc w:val="both"/>
              <w:rPr>
                <w:sz w:val="20"/>
              </w:rPr>
            </w:pPr>
            <w:r w:rsidRPr="00D1407F">
              <w:rPr>
                <w:sz w:val="20"/>
              </w:rPr>
              <w:t>− адрес офиса (почтовый адрес, если отличается), включая головной офис и любые</w:t>
            </w:r>
          </w:p>
          <w:p w14:paraId="362CAE38" w14:textId="77777777" w:rsidR="00692BA7" w:rsidRPr="00D1407F" w:rsidRDefault="00692BA7" w:rsidP="00692BA7">
            <w:pPr>
              <w:jc w:val="both"/>
              <w:rPr>
                <w:sz w:val="20"/>
              </w:rPr>
            </w:pPr>
            <w:r w:rsidRPr="00D1407F">
              <w:rPr>
                <w:sz w:val="20"/>
              </w:rPr>
              <w:t>иные офисы;</w:t>
            </w:r>
          </w:p>
          <w:p w14:paraId="6B246379" w14:textId="77777777" w:rsidR="00692BA7" w:rsidRPr="00D1407F" w:rsidRDefault="00692BA7" w:rsidP="00692BA7">
            <w:pPr>
              <w:jc w:val="both"/>
              <w:rPr>
                <w:sz w:val="20"/>
              </w:rPr>
            </w:pPr>
            <w:r w:rsidRPr="00D1407F">
              <w:rPr>
                <w:sz w:val="20"/>
              </w:rPr>
              <w:t>− иные изменения, которые существенно влияют на компетентность или</w:t>
            </w:r>
          </w:p>
          <w:p w14:paraId="6E08FD95" w14:textId="77777777" w:rsidR="00692BA7" w:rsidRPr="00D1407F" w:rsidRDefault="00692BA7" w:rsidP="00692BA7">
            <w:pPr>
              <w:jc w:val="both"/>
              <w:rPr>
                <w:sz w:val="20"/>
              </w:rPr>
            </w:pPr>
            <w:r w:rsidRPr="00D1407F">
              <w:rPr>
                <w:sz w:val="20"/>
              </w:rPr>
              <w:t>надежность процесса аккредитации;</w:t>
            </w:r>
          </w:p>
        </w:tc>
        <w:tc>
          <w:tcPr>
            <w:tcW w:w="3260" w:type="dxa"/>
            <w:gridSpan w:val="3"/>
          </w:tcPr>
          <w:p w14:paraId="69F53B3B" w14:textId="77777777" w:rsidR="00692BA7" w:rsidRPr="00D1407F" w:rsidRDefault="00692BA7" w:rsidP="00692BA7">
            <w:pPr>
              <w:jc w:val="both"/>
              <w:rPr>
                <w:sz w:val="20"/>
              </w:rPr>
            </w:pPr>
            <w:r w:rsidRPr="00D1407F">
              <w:rPr>
                <w:b/>
                <w:bCs/>
                <w:sz w:val="20"/>
              </w:rPr>
              <w:lastRenderedPageBreak/>
              <w:t>2.2.2</w:t>
            </w:r>
            <w:r w:rsidRPr="00D1407F">
              <w:rPr>
                <w:sz w:val="20"/>
              </w:rPr>
              <w:t xml:space="preserve"> Уведомление об изменениях</w:t>
            </w:r>
          </w:p>
          <w:p w14:paraId="7FEE3B3E" w14:textId="77777777" w:rsidR="00692BA7" w:rsidRPr="00D1407F" w:rsidRDefault="00692BA7" w:rsidP="00692BA7">
            <w:pPr>
              <w:jc w:val="both"/>
              <w:rPr>
                <w:sz w:val="20"/>
              </w:rPr>
            </w:pPr>
            <w:r w:rsidRPr="00D1407F">
              <w:rPr>
                <w:sz w:val="20"/>
              </w:rPr>
              <w:t xml:space="preserve">2.2.2.1. Каждый орган по аккредитации-подписант Договоренности ЕААС должен </w:t>
            </w:r>
            <w:r w:rsidRPr="00D1407F">
              <w:rPr>
                <w:sz w:val="20"/>
              </w:rPr>
              <w:lastRenderedPageBreak/>
              <w:t xml:space="preserve">незамедлительно сообщать о любых существенных изменениях в своем статусе и/или политике действий (например, как указано ниже) включая </w:t>
            </w:r>
            <w:r w:rsidRPr="00D1407F">
              <w:rPr>
                <w:b/>
                <w:bCs/>
                <w:sz w:val="20"/>
              </w:rPr>
              <w:t>влияние этих изменений, на деятельность ЕААС.</w:t>
            </w:r>
          </w:p>
          <w:p w14:paraId="7163C08B" w14:textId="77777777" w:rsidR="00692BA7" w:rsidRPr="00D1407F" w:rsidRDefault="00692BA7" w:rsidP="00692BA7">
            <w:pPr>
              <w:jc w:val="both"/>
              <w:rPr>
                <w:sz w:val="20"/>
              </w:rPr>
            </w:pPr>
            <w:r w:rsidRPr="00D1407F">
              <w:rPr>
                <w:sz w:val="20"/>
              </w:rPr>
              <w:t>- юридический статус;</w:t>
            </w:r>
          </w:p>
          <w:p w14:paraId="1ADE7AA0" w14:textId="77777777" w:rsidR="00692BA7" w:rsidRPr="00D1407F" w:rsidRDefault="00692BA7" w:rsidP="00692BA7">
            <w:pPr>
              <w:jc w:val="both"/>
              <w:rPr>
                <w:sz w:val="20"/>
              </w:rPr>
            </w:pPr>
            <w:r w:rsidRPr="00D1407F">
              <w:rPr>
                <w:sz w:val="20"/>
              </w:rPr>
              <w:t>- главный персонал по программам аккредитации;</w:t>
            </w:r>
          </w:p>
          <w:p w14:paraId="641315C7" w14:textId="77777777" w:rsidR="00692BA7" w:rsidRPr="00D1407F" w:rsidRDefault="00692BA7" w:rsidP="00692BA7">
            <w:pPr>
              <w:jc w:val="both"/>
              <w:rPr>
                <w:sz w:val="20"/>
              </w:rPr>
            </w:pPr>
            <w:r w:rsidRPr="00D1407F">
              <w:rPr>
                <w:sz w:val="20"/>
              </w:rPr>
              <w:t xml:space="preserve">- </w:t>
            </w:r>
            <w:r w:rsidRPr="00D1407F">
              <w:rPr>
                <w:b/>
                <w:bCs/>
                <w:sz w:val="20"/>
              </w:rPr>
              <w:t>контактное лицо по вопросам ЕААС;</w:t>
            </w:r>
          </w:p>
          <w:p w14:paraId="4B376256" w14:textId="77777777" w:rsidR="00692BA7" w:rsidRPr="00D1407F" w:rsidRDefault="00692BA7" w:rsidP="00692BA7">
            <w:pPr>
              <w:jc w:val="both"/>
              <w:rPr>
                <w:sz w:val="20"/>
              </w:rPr>
            </w:pPr>
            <w:r w:rsidRPr="00D1407F">
              <w:rPr>
                <w:sz w:val="20"/>
              </w:rPr>
              <w:t xml:space="preserve">- </w:t>
            </w:r>
            <w:r w:rsidRPr="00D1407F">
              <w:rPr>
                <w:b/>
                <w:bCs/>
                <w:sz w:val="20"/>
              </w:rPr>
              <w:t>критерии и процедуры для своих программ аккредитации, относящиеся к Договоренности ЕААС;</w:t>
            </w:r>
          </w:p>
          <w:p w14:paraId="26C45E6D" w14:textId="77777777" w:rsidR="00692BA7" w:rsidRPr="00D1407F" w:rsidRDefault="00692BA7" w:rsidP="00692BA7">
            <w:pPr>
              <w:jc w:val="both"/>
              <w:rPr>
                <w:sz w:val="20"/>
              </w:rPr>
            </w:pPr>
            <w:r w:rsidRPr="00D1407F">
              <w:rPr>
                <w:sz w:val="20"/>
              </w:rPr>
              <w:t>- адрес офиса (и почтовый адрес, если отличается), в том числе головного офиса и любых других офисов;</w:t>
            </w:r>
          </w:p>
          <w:p w14:paraId="566745A0" w14:textId="77777777" w:rsidR="00692BA7" w:rsidRPr="00D1407F" w:rsidRDefault="00692BA7" w:rsidP="00692BA7">
            <w:pPr>
              <w:jc w:val="both"/>
              <w:rPr>
                <w:sz w:val="20"/>
              </w:rPr>
            </w:pPr>
            <w:r w:rsidRPr="00D1407F">
              <w:rPr>
                <w:sz w:val="20"/>
              </w:rPr>
              <w:t>-</w:t>
            </w:r>
            <w:r w:rsidRPr="00D1407F">
              <w:rPr>
                <w:b/>
                <w:bCs/>
                <w:sz w:val="20"/>
              </w:rPr>
              <w:t xml:space="preserve"> отношение с </w:t>
            </w:r>
            <w:r w:rsidRPr="00D1407F">
              <w:rPr>
                <w:b/>
                <w:bCs/>
                <w:sz w:val="20"/>
                <w:lang w:val="kk-KZ"/>
              </w:rPr>
              <w:t>государством</w:t>
            </w:r>
            <w:r w:rsidRPr="00D1407F">
              <w:rPr>
                <w:sz w:val="20"/>
              </w:rPr>
              <w:t>;</w:t>
            </w:r>
          </w:p>
          <w:p w14:paraId="52E6F6A5" w14:textId="77777777" w:rsidR="00692BA7" w:rsidRPr="00D1407F" w:rsidRDefault="00692BA7" w:rsidP="00692BA7">
            <w:pPr>
              <w:jc w:val="both"/>
              <w:rPr>
                <w:sz w:val="20"/>
              </w:rPr>
            </w:pPr>
            <w:r w:rsidRPr="00D1407F">
              <w:rPr>
                <w:sz w:val="20"/>
              </w:rPr>
              <w:t xml:space="preserve">- </w:t>
            </w:r>
            <w:r w:rsidRPr="00D1407F">
              <w:rPr>
                <w:b/>
                <w:bCs/>
                <w:sz w:val="20"/>
              </w:rPr>
              <w:t>другие изменения, которые существенно влияют компетентность или доверие к процессу аккредитации;</w:t>
            </w:r>
          </w:p>
          <w:p w14:paraId="01910AE3" w14:textId="77777777" w:rsidR="00692BA7" w:rsidRPr="00D1407F" w:rsidRDefault="00692BA7" w:rsidP="00692BA7">
            <w:pPr>
              <w:jc w:val="both"/>
              <w:rPr>
                <w:sz w:val="20"/>
              </w:rPr>
            </w:pPr>
          </w:p>
        </w:tc>
        <w:tc>
          <w:tcPr>
            <w:tcW w:w="3686" w:type="dxa"/>
            <w:gridSpan w:val="2"/>
          </w:tcPr>
          <w:p w14:paraId="345B4C01" w14:textId="77777777" w:rsidR="00692BA7" w:rsidRPr="00D1407F" w:rsidRDefault="00692BA7" w:rsidP="00692BA7">
            <w:pPr>
              <w:jc w:val="both"/>
              <w:rPr>
                <w:sz w:val="20"/>
              </w:rPr>
            </w:pPr>
            <w:r w:rsidRPr="00D1407F">
              <w:rPr>
                <w:sz w:val="20"/>
              </w:rPr>
              <w:lastRenderedPageBreak/>
              <w:t>IAF/ILAC-A2:01/2018</w:t>
            </w:r>
          </w:p>
          <w:p w14:paraId="2D7F9C48" w14:textId="77777777" w:rsidR="00692BA7" w:rsidRPr="00D1407F" w:rsidRDefault="00692BA7" w:rsidP="00692BA7">
            <w:pPr>
              <w:jc w:val="both"/>
              <w:rPr>
                <w:sz w:val="20"/>
              </w:rPr>
            </w:pPr>
            <w:r w:rsidRPr="00D1407F">
              <w:rPr>
                <w:sz w:val="20"/>
              </w:rPr>
              <w:t>2.2.2 Уведомление об изменении</w:t>
            </w:r>
          </w:p>
          <w:p w14:paraId="139B33F0" w14:textId="77777777" w:rsidR="00692BA7" w:rsidRPr="00D1407F" w:rsidRDefault="00692BA7" w:rsidP="00692BA7">
            <w:pPr>
              <w:jc w:val="both"/>
              <w:rPr>
                <w:sz w:val="20"/>
              </w:rPr>
            </w:pPr>
            <w:r w:rsidRPr="00D1407F">
              <w:rPr>
                <w:sz w:val="20"/>
              </w:rPr>
              <w:t xml:space="preserve">Каждый орган по аккредитации, подписавший Соглашение, должен </w:t>
            </w:r>
            <w:r w:rsidRPr="00D1407F">
              <w:rPr>
                <w:sz w:val="20"/>
              </w:rPr>
              <w:lastRenderedPageBreak/>
              <w:t>незамедлительно сообщать о любых существенных изменениях в своем статусе и/или политике действий (например, как указано ниже) включая влияние этих изменений, соответствующей Группе(</w:t>
            </w:r>
            <w:proofErr w:type="spellStart"/>
            <w:r w:rsidRPr="00D1407F">
              <w:rPr>
                <w:sz w:val="20"/>
              </w:rPr>
              <w:t>ам</w:t>
            </w:r>
            <w:proofErr w:type="spellEnd"/>
            <w:r w:rsidRPr="00D1407F">
              <w:rPr>
                <w:sz w:val="20"/>
              </w:rPr>
              <w:t>) соглашений. См. Приложение 7 для определения возможных последствий, связанных с изменениями.</w:t>
            </w:r>
          </w:p>
          <w:p w14:paraId="44243BBE" w14:textId="77777777" w:rsidR="00692BA7" w:rsidRPr="00D1407F" w:rsidRDefault="00692BA7" w:rsidP="00692BA7">
            <w:pPr>
              <w:jc w:val="both"/>
              <w:rPr>
                <w:sz w:val="20"/>
              </w:rPr>
            </w:pPr>
            <w:r w:rsidRPr="00D1407F">
              <w:rPr>
                <w:sz w:val="20"/>
              </w:rPr>
              <w:t>- Правовой статус;</w:t>
            </w:r>
          </w:p>
          <w:p w14:paraId="3D14B709" w14:textId="77777777" w:rsidR="00692BA7" w:rsidRPr="00D1407F" w:rsidRDefault="00692BA7" w:rsidP="00692BA7">
            <w:pPr>
              <w:jc w:val="both"/>
              <w:rPr>
                <w:sz w:val="20"/>
              </w:rPr>
            </w:pPr>
            <w:r w:rsidRPr="00D1407F">
              <w:rPr>
                <w:sz w:val="20"/>
              </w:rPr>
              <w:t>- Главный персонал по программам аккредитации;</w:t>
            </w:r>
          </w:p>
          <w:p w14:paraId="5EBEAFAE" w14:textId="77777777" w:rsidR="00692BA7" w:rsidRPr="00D1407F" w:rsidRDefault="00692BA7" w:rsidP="00692BA7">
            <w:pPr>
              <w:jc w:val="both"/>
              <w:rPr>
                <w:sz w:val="20"/>
              </w:rPr>
            </w:pPr>
            <w:r w:rsidRPr="00D1407F">
              <w:rPr>
                <w:sz w:val="20"/>
              </w:rPr>
              <w:t>- Контактное лицо по вопросам Соглашения;</w:t>
            </w:r>
          </w:p>
          <w:p w14:paraId="54669720" w14:textId="77777777" w:rsidR="00692BA7" w:rsidRPr="00D1407F" w:rsidRDefault="00692BA7" w:rsidP="00692BA7">
            <w:pPr>
              <w:jc w:val="both"/>
              <w:rPr>
                <w:sz w:val="20"/>
              </w:rPr>
            </w:pPr>
            <w:r w:rsidRPr="00D1407F">
              <w:rPr>
                <w:sz w:val="20"/>
              </w:rPr>
              <w:t>- Критерии и процедуры для своих программ аккредитации, связанных с Соглашением;</w:t>
            </w:r>
          </w:p>
          <w:p w14:paraId="7EC09C8F" w14:textId="77777777" w:rsidR="00692BA7" w:rsidRPr="00D1407F" w:rsidRDefault="00692BA7" w:rsidP="00692BA7">
            <w:pPr>
              <w:jc w:val="both"/>
              <w:rPr>
                <w:sz w:val="20"/>
              </w:rPr>
            </w:pPr>
            <w:r w:rsidRPr="00D1407F">
              <w:rPr>
                <w:sz w:val="20"/>
              </w:rPr>
              <w:t>- Адрес офиса (и почтовый адрес, если отличается), в том числе головного офиса и любых других офисов;</w:t>
            </w:r>
          </w:p>
          <w:p w14:paraId="3E431668" w14:textId="77777777" w:rsidR="00692BA7" w:rsidRPr="00D1407F" w:rsidRDefault="00692BA7" w:rsidP="00692BA7">
            <w:pPr>
              <w:jc w:val="both"/>
              <w:rPr>
                <w:sz w:val="20"/>
              </w:rPr>
            </w:pPr>
            <w:r w:rsidRPr="00D1407F">
              <w:rPr>
                <w:sz w:val="20"/>
              </w:rPr>
              <w:t>- Отношение с Государством;</w:t>
            </w:r>
          </w:p>
          <w:p w14:paraId="2EBF6262" w14:textId="77777777" w:rsidR="00692BA7" w:rsidRPr="00D1407F" w:rsidRDefault="00692BA7" w:rsidP="00692BA7">
            <w:pPr>
              <w:jc w:val="both"/>
              <w:rPr>
                <w:sz w:val="20"/>
              </w:rPr>
            </w:pPr>
            <w:r w:rsidRPr="00D1407F">
              <w:rPr>
                <w:sz w:val="20"/>
              </w:rPr>
              <w:t>- Другие изменения, которые существенно влияют компетентность или доверие к процессу аккредитации.</w:t>
            </w:r>
          </w:p>
        </w:tc>
        <w:tc>
          <w:tcPr>
            <w:tcW w:w="2551" w:type="dxa"/>
          </w:tcPr>
          <w:p w14:paraId="1B729FFC" w14:textId="090D7FC4" w:rsidR="00FF0B79" w:rsidRPr="007D61F6" w:rsidRDefault="00FF0B79" w:rsidP="00FF0B79">
            <w:pPr>
              <w:jc w:val="both"/>
              <w:rPr>
                <w:bCs/>
                <w:i/>
                <w:iCs/>
                <w:sz w:val="20"/>
              </w:rPr>
            </w:pPr>
            <w:r w:rsidRPr="00FF0B79">
              <w:rPr>
                <w:bCs/>
                <w:i/>
                <w:iCs/>
                <w:sz w:val="20"/>
              </w:rPr>
              <w:lastRenderedPageBreak/>
              <w:t>Предлагаем обсудить в рамках очередного заседания.</w:t>
            </w:r>
          </w:p>
          <w:p w14:paraId="6524AB6F" w14:textId="77777777" w:rsidR="00FF0B79" w:rsidRPr="00FF0B79" w:rsidRDefault="00FF0B79" w:rsidP="00FF0B79">
            <w:pPr>
              <w:jc w:val="both"/>
              <w:rPr>
                <w:bCs/>
                <w:i/>
                <w:iCs/>
                <w:sz w:val="20"/>
              </w:rPr>
            </w:pPr>
          </w:p>
          <w:p w14:paraId="5E70ADAC" w14:textId="77777777" w:rsidR="00FF0B79" w:rsidRPr="00FF0B79" w:rsidRDefault="00FF0B79" w:rsidP="00FF0B79">
            <w:pPr>
              <w:rPr>
                <w:bCs/>
                <w:i/>
                <w:iCs/>
                <w:sz w:val="20"/>
                <w:lang w:val="en-US"/>
              </w:rPr>
            </w:pPr>
            <w:r w:rsidRPr="00FF0B79">
              <w:rPr>
                <w:bCs/>
                <w:i/>
                <w:iCs/>
                <w:sz w:val="20"/>
              </w:rPr>
              <w:lastRenderedPageBreak/>
              <w:t>Примечание</w:t>
            </w:r>
            <w:r w:rsidRPr="00FF0B79">
              <w:rPr>
                <w:bCs/>
                <w:i/>
                <w:iCs/>
                <w:sz w:val="20"/>
                <w:lang w:val="en-US"/>
              </w:rPr>
              <w:t>:</w:t>
            </w:r>
          </w:p>
          <w:p w14:paraId="23C39008" w14:textId="77777777" w:rsidR="00FF0B79" w:rsidRPr="00FF0B79" w:rsidRDefault="00FF0B79" w:rsidP="00FF0B79">
            <w:pPr>
              <w:rPr>
                <w:bCs/>
                <w:i/>
                <w:iCs/>
                <w:sz w:val="20"/>
                <w:lang w:val="en-US"/>
              </w:rPr>
            </w:pPr>
            <w:r w:rsidRPr="00FF0B79">
              <w:rPr>
                <w:bCs/>
                <w:i/>
                <w:iCs/>
                <w:sz w:val="20"/>
                <w:lang w:val="en-US"/>
              </w:rPr>
              <w:t>IAF/ILAC-A2:01/2018</w:t>
            </w:r>
          </w:p>
          <w:p w14:paraId="180FBB33" w14:textId="20793B1B" w:rsidR="00692BA7" w:rsidRPr="007D61F6" w:rsidRDefault="00FF0B79" w:rsidP="00FF0B79">
            <w:pPr>
              <w:rPr>
                <w:b/>
                <w:sz w:val="20"/>
                <w:lang w:val="en-US"/>
              </w:rPr>
            </w:pPr>
            <w:r w:rsidRPr="007D61F6">
              <w:rPr>
                <w:bCs/>
                <w:i/>
                <w:iCs/>
                <w:sz w:val="20"/>
                <w:lang w:val="en-US"/>
              </w:rPr>
              <w:t>2.2.2 Notification of change Each accreditation body signatory to an Arrangement shall report any significant changes in its status and/or its operating practices (</w:t>
            </w:r>
            <w:proofErr w:type="gramStart"/>
            <w:r w:rsidRPr="007D61F6">
              <w:rPr>
                <w:bCs/>
                <w:i/>
                <w:iCs/>
                <w:sz w:val="20"/>
                <w:lang w:val="en-US"/>
              </w:rPr>
              <w:t>e.g.</w:t>
            </w:r>
            <w:proofErr w:type="gramEnd"/>
            <w:r w:rsidRPr="007D61F6">
              <w:rPr>
                <w:bCs/>
                <w:i/>
                <w:iCs/>
                <w:sz w:val="20"/>
                <w:lang w:val="en-US"/>
              </w:rPr>
              <w:t xml:space="preserve"> as listed below) including the impact of these changes without delay to the relevant Arrangement Group(s). For possible consequences associated with changes see Annex 7.</w:t>
            </w:r>
            <w:r w:rsidRPr="007D61F6">
              <w:rPr>
                <w:bCs/>
                <w:i/>
                <w:iCs/>
                <w:sz w:val="20"/>
                <w:lang w:val="en-US"/>
              </w:rPr>
              <w:br/>
              <w:t>- Legal status;</w:t>
            </w:r>
            <w:r w:rsidRPr="007D61F6">
              <w:rPr>
                <w:bCs/>
                <w:i/>
                <w:iCs/>
                <w:sz w:val="20"/>
                <w:lang w:val="en-US"/>
              </w:rPr>
              <w:br/>
              <w:t>- Senior accreditation program personnel;</w:t>
            </w:r>
            <w:r w:rsidRPr="007D61F6">
              <w:rPr>
                <w:bCs/>
                <w:i/>
                <w:iCs/>
                <w:sz w:val="20"/>
                <w:lang w:val="en-US"/>
              </w:rPr>
              <w:br/>
              <w:t>- Contact person or liaison officer for the Arrangement;</w:t>
            </w:r>
            <w:r w:rsidRPr="007D61F6">
              <w:rPr>
                <w:bCs/>
                <w:i/>
                <w:iCs/>
                <w:sz w:val="20"/>
                <w:lang w:val="en-US"/>
              </w:rPr>
              <w:br/>
              <w:t>- Accreditation criteria and procedures for its accreditation programs, related to the Arrangement;</w:t>
            </w:r>
            <w:r w:rsidRPr="007D61F6">
              <w:rPr>
                <w:bCs/>
                <w:i/>
                <w:iCs/>
                <w:sz w:val="20"/>
                <w:lang w:val="en-US"/>
              </w:rPr>
              <w:br/>
              <w:t>- Office address (and postal address, if different), including head office and any offices;</w:t>
            </w:r>
            <w:r w:rsidRPr="007D61F6">
              <w:rPr>
                <w:bCs/>
                <w:i/>
                <w:iCs/>
                <w:sz w:val="20"/>
                <w:lang w:val="en-US"/>
              </w:rPr>
              <w:br/>
              <w:t>- Relationship with Government;</w:t>
            </w:r>
            <w:r w:rsidRPr="007D61F6">
              <w:rPr>
                <w:bCs/>
                <w:i/>
                <w:iCs/>
                <w:sz w:val="20"/>
                <w:lang w:val="en-US"/>
              </w:rPr>
              <w:br/>
              <w:t>- Other changes that significantly affect the competence or credibility of the accreditation process.</w:t>
            </w:r>
          </w:p>
        </w:tc>
        <w:tc>
          <w:tcPr>
            <w:tcW w:w="2126" w:type="dxa"/>
          </w:tcPr>
          <w:p w14:paraId="7F2E11D4" w14:textId="6B7F91F8" w:rsidR="00692BA7" w:rsidRPr="00FF0B79" w:rsidRDefault="00692BA7" w:rsidP="00692BA7">
            <w:pPr>
              <w:jc w:val="center"/>
              <w:rPr>
                <w:b/>
                <w:sz w:val="22"/>
                <w:szCs w:val="22"/>
                <w:lang w:val="en-US"/>
              </w:rPr>
            </w:pPr>
          </w:p>
        </w:tc>
      </w:tr>
      <w:tr w:rsidR="00692BA7" w:rsidRPr="007067AE" w14:paraId="382B7AA7" w14:textId="77777777" w:rsidTr="00692BA7">
        <w:trPr>
          <w:trHeight w:val="461"/>
        </w:trPr>
        <w:tc>
          <w:tcPr>
            <w:tcW w:w="3114" w:type="dxa"/>
            <w:gridSpan w:val="2"/>
          </w:tcPr>
          <w:p w14:paraId="2CE4995E" w14:textId="77777777" w:rsidR="00692BA7" w:rsidRPr="00D1407F" w:rsidRDefault="00692BA7" w:rsidP="00692BA7">
            <w:pPr>
              <w:jc w:val="both"/>
              <w:rPr>
                <w:color w:val="000000" w:themeColor="text1"/>
                <w:sz w:val="20"/>
              </w:rPr>
            </w:pPr>
            <w:r w:rsidRPr="00D1407F">
              <w:rPr>
                <w:sz w:val="20"/>
              </w:rPr>
              <w:t xml:space="preserve">2.2.2.4 Совет ЕААС по Договоренности </w:t>
            </w:r>
            <w:r w:rsidRPr="00D1407F">
              <w:rPr>
                <w:color w:val="000000" w:themeColor="text1"/>
                <w:sz w:val="20"/>
              </w:rPr>
              <w:t>(необходимость создания Советом</w:t>
            </w:r>
          </w:p>
          <w:p w14:paraId="58DC7507" w14:textId="77777777" w:rsidR="00692BA7" w:rsidRPr="00D1407F" w:rsidRDefault="00692BA7" w:rsidP="00692BA7">
            <w:pPr>
              <w:jc w:val="both"/>
              <w:rPr>
                <w:sz w:val="20"/>
              </w:rPr>
            </w:pPr>
            <w:r w:rsidRPr="00D1407F">
              <w:rPr>
                <w:color w:val="000000" w:themeColor="text1"/>
                <w:sz w:val="20"/>
              </w:rPr>
              <w:t xml:space="preserve">специальной рабочей группы по рассмотрению изменений – на обсуждение РГ) </w:t>
            </w:r>
            <w:r w:rsidRPr="00D1407F">
              <w:rPr>
                <w:sz w:val="20"/>
              </w:rPr>
              <w:t>по представлению Секретариата ЕААС должен рассмотреть уведомление об изменении и определить, продолжает ли орган по аккредитации соответствовать требованиям ISO/IEC 17011 и Договоренности ЕААС. Совет ЕААС по Договоренности может решить, что анализ влияния не требует каких-либо дальнейших действий, о чем Секретариат ЕААС информирует орган по аккредитации, представивший уведомление об изменении;</w:t>
            </w:r>
          </w:p>
        </w:tc>
        <w:tc>
          <w:tcPr>
            <w:tcW w:w="3260" w:type="dxa"/>
            <w:gridSpan w:val="3"/>
          </w:tcPr>
          <w:p w14:paraId="1C826B22" w14:textId="77777777" w:rsidR="00692BA7" w:rsidRPr="00D1407F" w:rsidRDefault="00692BA7" w:rsidP="00692BA7">
            <w:pPr>
              <w:jc w:val="both"/>
              <w:rPr>
                <w:b/>
                <w:bCs/>
                <w:sz w:val="20"/>
              </w:rPr>
            </w:pPr>
            <w:r w:rsidRPr="00D1407F">
              <w:rPr>
                <w:sz w:val="20"/>
              </w:rPr>
              <w:t>2.2.2.4 Совет ЕААС по Договоренности по представлению Секретариата ЕААС должен рассмотреть уведомление об изменении и определить, продолжает ли орган по аккредитации соответствовать требованиям ISO/IEC 17011 и Договоренности ЕААС. Совет ЕААС по Договоренности может решить, что анализ влияния не требует каких-либо дальнейших действий, о чем Секретариат ЕААС информирует орган по аккредитации, представивший уведомление об изменении;</w:t>
            </w:r>
          </w:p>
        </w:tc>
        <w:tc>
          <w:tcPr>
            <w:tcW w:w="3686" w:type="dxa"/>
            <w:gridSpan w:val="2"/>
          </w:tcPr>
          <w:p w14:paraId="5254A5CE" w14:textId="77777777" w:rsidR="00692BA7" w:rsidRPr="00D1407F" w:rsidRDefault="00692BA7" w:rsidP="00692BA7">
            <w:pPr>
              <w:jc w:val="both"/>
              <w:rPr>
                <w:sz w:val="20"/>
              </w:rPr>
            </w:pPr>
            <w:r w:rsidRPr="00D1407F">
              <w:rPr>
                <w:sz w:val="20"/>
              </w:rPr>
              <w:t xml:space="preserve">Создание специальной рабочей группы нецелесообразно, материалы могут быть представлены Секретариату ЕААС </w:t>
            </w:r>
            <w:r w:rsidRPr="00D1407F">
              <w:rPr>
                <w:b/>
                <w:bCs/>
                <w:sz w:val="20"/>
              </w:rPr>
              <w:t>группой по оценке.</w:t>
            </w:r>
          </w:p>
        </w:tc>
        <w:tc>
          <w:tcPr>
            <w:tcW w:w="2551" w:type="dxa"/>
          </w:tcPr>
          <w:p w14:paraId="00C6968D" w14:textId="0C8B2414" w:rsidR="00692BA7" w:rsidRPr="007D61F6" w:rsidRDefault="00CB35E0" w:rsidP="00CB35E0">
            <w:pPr>
              <w:rPr>
                <w:sz w:val="20"/>
              </w:rPr>
            </w:pPr>
            <w:r w:rsidRPr="007D61F6">
              <w:rPr>
                <w:i/>
                <w:iCs/>
                <w:sz w:val="20"/>
              </w:rPr>
              <w:t>Предлагаем обсудить в рамках очередного заседания совместно с предложением КЦА по данному пункту.</w:t>
            </w:r>
          </w:p>
        </w:tc>
        <w:tc>
          <w:tcPr>
            <w:tcW w:w="2126" w:type="dxa"/>
          </w:tcPr>
          <w:p w14:paraId="1469C15B" w14:textId="2E8D60C8" w:rsidR="00692BA7" w:rsidRPr="00942379" w:rsidRDefault="00692BA7" w:rsidP="00692BA7">
            <w:pPr>
              <w:jc w:val="center"/>
              <w:rPr>
                <w:b/>
                <w:sz w:val="22"/>
                <w:szCs w:val="22"/>
              </w:rPr>
            </w:pPr>
          </w:p>
        </w:tc>
      </w:tr>
      <w:tr w:rsidR="00692BA7" w:rsidRPr="007067AE" w14:paraId="6F953910" w14:textId="77777777" w:rsidTr="00692BA7">
        <w:trPr>
          <w:trHeight w:val="461"/>
        </w:trPr>
        <w:tc>
          <w:tcPr>
            <w:tcW w:w="3114" w:type="dxa"/>
            <w:gridSpan w:val="2"/>
          </w:tcPr>
          <w:p w14:paraId="770D3427" w14:textId="77777777" w:rsidR="00692BA7" w:rsidRPr="00D1407F" w:rsidRDefault="00692BA7" w:rsidP="00692BA7">
            <w:pPr>
              <w:jc w:val="both"/>
              <w:rPr>
                <w:sz w:val="20"/>
              </w:rPr>
            </w:pPr>
            <w:r w:rsidRPr="00D1407F">
              <w:rPr>
                <w:sz w:val="20"/>
              </w:rPr>
              <w:t>2.3.3 Конфиденциальность</w:t>
            </w:r>
          </w:p>
          <w:p w14:paraId="5096B40D" w14:textId="77777777" w:rsidR="00692BA7" w:rsidRPr="00D1407F" w:rsidRDefault="00692BA7" w:rsidP="00692BA7">
            <w:pPr>
              <w:jc w:val="both"/>
              <w:rPr>
                <w:sz w:val="20"/>
              </w:rPr>
            </w:pPr>
            <w:r w:rsidRPr="00D1407F">
              <w:rPr>
                <w:sz w:val="20"/>
              </w:rPr>
              <w:t xml:space="preserve">2.2.3.1 Вся устная и письменная информация, полученная об органе по аккредитации в ходе паритетных оценок, повторных оценок, в результате рассмотрения апелляций и жалоб (за исключением той информации, которая уже общедоступна) должна рассматриваться как конфиденциальная всеми сторонами и лицами. Это касается в том числе информации, относящейся к заявителям и/или подписантам Договоренности ЕААС, а также к аккредитованным ими органам по оценке соответствия. </w:t>
            </w:r>
          </w:p>
          <w:p w14:paraId="4086488A" w14:textId="77777777" w:rsidR="00692BA7" w:rsidRPr="00D1407F" w:rsidRDefault="00692BA7" w:rsidP="00692BA7">
            <w:pPr>
              <w:jc w:val="both"/>
              <w:rPr>
                <w:sz w:val="20"/>
              </w:rPr>
            </w:pPr>
            <w:r w:rsidRPr="00D1407F">
              <w:rPr>
                <w:sz w:val="20"/>
              </w:rPr>
              <w:t>Все лица, имеющие доступ к конфиденциальной информации, в том числе наблюдатели, перед получением такого доступа должны предоставить в Секретариат ЕААС подписанную декларацию о конфиденциальности. Форма декларации и принципы обеспечения конфиденциальности установлены в «Порядке обеспечения конфиденциальности информации в ходе паритетных оценок».</w:t>
            </w:r>
          </w:p>
        </w:tc>
        <w:tc>
          <w:tcPr>
            <w:tcW w:w="3260" w:type="dxa"/>
            <w:gridSpan w:val="3"/>
          </w:tcPr>
          <w:p w14:paraId="7A99AC99" w14:textId="77777777" w:rsidR="00692BA7" w:rsidRPr="00D1407F" w:rsidRDefault="00692BA7" w:rsidP="00692BA7">
            <w:pPr>
              <w:jc w:val="both"/>
              <w:rPr>
                <w:sz w:val="20"/>
              </w:rPr>
            </w:pPr>
            <w:r w:rsidRPr="00D1407F">
              <w:rPr>
                <w:b/>
                <w:bCs/>
                <w:sz w:val="20"/>
              </w:rPr>
              <w:t>2.2.3</w:t>
            </w:r>
            <w:r w:rsidRPr="00D1407F">
              <w:rPr>
                <w:sz w:val="20"/>
              </w:rPr>
              <w:t xml:space="preserve"> Конфиденциальность</w:t>
            </w:r>
          </w:p>
          <w:p w14:paraId="747F5AF2" w14:textId="77777777" w:rsidR="00692BA7" w:rsidRPr="00D1407F" w:rsidRDefault="00692BA7" w:rsidP="00692BA7">
            <w:pPr>
              <w:jc w:val="both"/>
              <w:rPr>
                <w:sz w:val="20"/>
              </w:rPr>
            </w:pPr>
            <w:r w:rsidRPr="00D1407F">
              <w:rPr>
                <w:sz w:val="20"/>
              </w:rPr>
              <w:t xml:space="preserve">2.2.3.1. Вся устная и письменная информация, полученная об органе по аккредитации в ходе паритетных оценок, повторных оценок, в результате рассмотрения апелляций и жалоб (за исключением той информации, которая уже общедоступна) должна рассматриваться как конфиденциальная всеми сторонами и лицами. Это касается в том числе информации, относящейся к заявителям и/или подписантам Договоренности ЕААС, а также к аккредитованным ими органам по оценке соответствия. </w:t>
            </w:r>
          </w:p>
          <w:p w14:paraId="54D0EF5F" w14:textId="77777777" w:rsidR="00692BA7" w:rsidRPr="00D1407F" w:rsidRDefault="00692BA7" w:rsidP="00692BA7">
            <w:pPr>
              <w:jc w:val="both"/>
              <w:rPr>
                <w:b/>
                <w:bCs/>
                <w:sz w:val="20"/>
              </w:rPr>
            </w:pPr>
            <w:r w:rsidRPr="00D1407F">
              <w:rPr>
                <w:sz w:val="20"/>
              </w:rPr>
              <w:t xml:space="preserve">Все лица, имеющие доступ к конфиденциальной информации, в том числе наблюдатели, перед получением такого доступа должны предоставить в Секретариат ЕААС подписанную декларацию о конфиденциальности. </w:t>
            </w:r>
            <w:r w:rsidRPr="00D1407F">
              <w:rPr>
                <w:b/>
                <w:bCs/>
                <w:sz w:val="20"/>
              </w:rPr>
              <w:t>Форма декларации и принципы</w:t>
            </w:r>
          </w:p>
          <w:p w14:paraId="6E7BFA48" w14:textId="77777777" w:rsidR="00692BA7" w:rsidRPr="00D1407F" w:rsidRDefault="00692BA7" w:rsidP="00692BA7">
            <w:pPr>
              <w:jc w:val="both"/>
              <w:rPr>
                <w:b/>
                <w:bCs/>
                <w:sz w:val="20"/>
              </w:rPr>
            </w:pPr>
            <w:r w:rsidRPr="00D1407F">
              <w:rPr>
                <w:b/>
                <w:bCs/>
                <w:sz w:val="20"/>
              </w:rPr>
              <w:t>обеспечения конфиденциальности приведены в Приложении №__.</w:t>
            </w:r>
          </w:p>
          <w:p w14:paraId="253D9624" w14:textId="77777777" w:rsidR="00692BA7" w:rsidRPr="00D1407F" w:rsidRDefault="00692BA7" w:rsidP="00692BA7">
            <w:pPr>
              <w:jc w:val="both"/>
              <w:rPr>
                <w:b/>
                <w:bCs/>
                <w:sz w:val="20"/>
              </w:rPr>
            </w:pPr>
          </w:p>
        </w:tc>
        <w:tc>
          <w:tcPr>
            <w:tcW w:w="3686" w:type="dxa"/>
            <w:gridSpan w:val="2"/>
          </w:tcPr>
          <w:p w14:paraId="46B5B1D4" w14:textId="77777777" w:rsidR="00692BA7" w:rsidRPr="00D1407F" w:rsidRDefault="00692BA7" w:rsidP="00692BA7">
            <w:pPr>
              <w:jc w:val="both"/>
              <w:rPr>
                <w:sz w:val="20"/>
              </w:rPr>
            </w:pPr>
            <w:r w:rsidRPr="00D1407F">
              <w:rPr>
                <w:sz w:val="20"/>
              </w:rPr>
              <w:t>Нецелесообразно разрабатывать отдельный документ «Порядок обеспечения конфиденциальности информации в ходе паритетных оценок». Основные пункты вышеприведенного Порядка могут быть отображены в Порядке осуществления паритетных оценок органов по аккредитации.</w:t>
            </w:r>
          </w:p>
          <w:p w14:paraId="4373E82F" w14:textId="77777777" w:rsidR="00692BA7" w:rsidRPr="00D1407F" w:rsidRDefault="00692BA7" w:rsidP="00692BA7">
            <w:pPr>
              <w:jc w:val="both"/>
              <w:rPr>
                <w:sz w:val="20"/>
              </w:rPr>
            </w:pPr>
          </w:p>
          <w:p w14:paraId="509F2891" w14:textId="77777777" w:rsidR="00692BA7" w:rsidRPr="00D1407F" w:rsidRDefault="00692BA7" w:rsidP="00692BA7">
            <w:pPr>
              <w:jc w:val="both"/>
              <w:rPr>
                <w:sz w:val="20"/>
              </w:rPr>
            </w:pPr>
            <w:r w:rsidRPr="00D1407F">
              <w:rPr>
                <w:sz w:val="20"/>
              </w:rPr>
              <w:t>IAF/ILAC-A2:01/2018</w:t>
            </w:r>
          </w:p>
          <w:p w14:paraId="04E4262F" w14:textId="77777777" w:rsidR="00692BA7" w:rsidRPr="00D1407F" w:rsidRDefault="00692BA7" w:rsidP="00692BA7">
            <w:pPr>
              <w:rPr>
                <w:color w:val="000000"/>
                <w:sz w:val="20"/>
              </w:rPr>
            </w:pPr>
            <w:r w:rsidRPr="00D1407F">
              <w:rPr>
                <w:color w:val="000000"/>
                <w:sz w:val="20"/>
              </w:rPr>
              <w:t xml:space="preserve">2.2.3.1 Вся устная и письменная информация, полученная вследствие деятельности группы по соглашению, относящаяся к оценкам, повторным оценкам, апелляциям и жалобам (за исключением информации, которая уже является общедоступной) должна использоваться конфиденциально всеми заинтересованными сторонами и лицами. Она включает информацию, относящуюся к заявителям и/или подписантам Соглашения. Все физические лица, имеющие доступ к конфиденциальной информации, должны подписать декларацию о конфиденциальности до получения доступа. </w:t>
            </w:r>
          </w:p>
          <w:p w14:paraId="3F9994F1" w14:textId="77777777" w:rsidR="00692BA7" w:rsidRPr="00D1407F" w:rsidRDefault="00692BA7" w:rsidP="00692BA7">
            <w:pPr>
              <w:rPr>
                <w:color w:val="000000"/>
                <w:sz w:val="20"/>
              </w:rPr>
            </w:pPr>
          </w:p>
          <w:p w14:paraId="01F3C06A" w14:textId="77777777" w:rsidR="00692BA7" w:rsidRPr="00D1407F" w:rsidRDefault="00692BA7" w:rsidP="00692BA7">
            <w:pPr>
              <w:rPr>
                <w:sz w:val="20"/>
              </w:rPr>
            </w:pPr>
          </w:p>
        </w:tc>
        <w:tc>
          <w:tcPr>
            <w:tcW w:w="2551" w:type="dxa"/>
          </w:tcPr>
          <w:p w14:paraId="65A4F12A" w14:textId="25D2BA18" w:rsidR="00CB35E0" w:rsidRPr="00CB35E0" w:rsidRDefault="00CB35E0" w:rsidP="00CB35E0">
            <w:pPr>
              <w:overflowPunct/>
              <w:autoSpaceDE/>
              <w:autoSpaceDN/>
              <w:adjustRightInd/>
              <w:spacing w:after="160"/>
              <w:jc w:val="both"/>
              <w:rPr>
                <w:rFonts w:eastAsia="Calibri"/>
                <w:i/>
                <w:iCs/>
                <w:sz w:val="20"/>
                <w:lang w:eastAsia="en-US"/>
              </w:rPr>
            </w:pPr>
            <w:r w:rsidRPr="00CB35E0">
              <w:rPr>
                <w:bCs/>
                <w:i/>
                <w:iCs/>
                <w:sz w:val="20"/>
              </w:rPr>
              <w:t xml:space="preserve">Вопрос о целесообразности разработки отдельного документа </w:t>
            </w:r>
            <w:r w:rsidRPr="00CB35E0">
              <w:rPr>
                <w:rFonts w:eastAsia="Calibri"/>
                <w:i/>
                <w:iCs/>
                <w:sz w:val="20"/>
                <w:lang w:eastAsia="en-US"/>
              </w:rPr>
              <w:t>«Порядок обеспечения конфиденциальности информации в ходе паритетных оценок» или включении основных пунктов в Порядок осуществления паритетных оценок органов по аккредитации предлагаем обсудить в рамках очередного заседания.</w:t>
            </w:r>
          </w:p>
          <w:p w14:paraId="1EC72C60" w14:textId="159B0C87" w:rsidR="00692BA7" w:rsidRPr="007D61F6" w:rsidRDefault="00CB35E0" w:rsidP="00CB35E0">
            <w:pPr>
              <w:overflowPunct/>
              <w:autoSpaceDE/>
              <w:autoSpaceDN/>
              <w:adjustRightInd/>
              <w:jc w:val="both"/>
              <w:rPr>
                <w:b/>
                <w:sz w:val="20"/>
              </w:rPr>
            </w:pPr>
            <w:r w:rsidRPr="00CB35E0">
              <w:rPr>
                <w:rFonts w:eastAsia="Calibri"/>
                <w:sz w:val="20"/>
                <w:lang w:eastAsia="en-US"/>
              </w:rPr>
              <w:t>(</w:t>
            </w:r>
            <w:r w:rsidRPr="007D61F6">
              <w:rPr>
                <w:rFonts w:eastAsia="Calibri"/>
                <w:b/>
                <w:bCs/>
                <w:sz w:val="20"/>
                <w:lang w:eastAsia="en-US"/>
              </w:rPr>
              <w:t xml:space="preserve">Позиция </w:t>
            </w:r>
            <w:r w:rsidRPr="00CB35E0">
              <w:rPr>
                <w:rFonts w:eastAsia="Calibri"/>
                <w:b/>
                <w:bCs/>
                <w:sz w:val="20"/>
                <w:lang w:val="en-US" w:eastAsia="en-US"/>
              </w:rPr>
              <w:t>MOLDAC</w:t>
            </w:r>
            <w:r w:rsidRPr="00CB35E0">
              <w:rPr>
                <w:rFonts w:eastAsia="Calibri"/>
                <w:b/>
                <w:bCs/>
                <w:sz w:val="20"/>
                <w:lang w:eastAsia="en-US"/>
              </w:rPr>
              <w:t>:</w:t>
            </w:r>
            <w:r w:rsidRPr="00CB35E0">
              <w:rPr>
                <w:rFonts w:eastAsia="Calibri"/>
                <w:sz w:val="20"/>
                <w:lang w:eastAsia="en-US"/>
              </w:rPr>
              <w:t xml:space="preserve"> </w:t>
            </w:r>
            <w:r w:rsidRPr="007D61F6">
              <w:rPr>
                <w:rFonts w:eastAsia="Calibri"/>
                <w:sz w:val="20"/>
                <w:lang w:eastAsia="en-US"/>
              </w:rPr>
              <w:br/>
            </w:r>
            <w:r w:rsidRPr="00CB35E0">
              <w:rPr>
                <w:rFonts w:eastAsia="Calibri"/>
                <w:sz w:val="20"/>
                <w:lang w:eastAsia="en-US"/>
              </w:rPr>
              <w:t xml:space="preserve">В соответствии с Программой работ Рабочей группы МГС по вопросу создания Региональной организации (ассоциации) по аккредитации проект документа относительно конфиденциальности разрабатывается с 2017 года. </w:t>
            </w:r>
            <w:r w:rsidRPr="00CB35E0">
              <w:rPr>
                <w:rFonts w:eastAsia="Calibri"/>
                <w:b/>
                <w:bCs/>
                <w:sz w:val="20"/>
                <w:lang w:eastAsia="en-US"/>
              </w:rPr>
              <w:t>Обсуждение относительно аннулирования данного документа и доработки соответственного раздела в разрабатываемом проекте «Порядок осуществления паритетных оценок органов по аккредитации» является прерогативой рабочей группы</w:t>
            </w:r>
            <w:r w:rsidRPr="00CB35E0">
              <w:rPr>
                <w:rFonts w:eastAsia="Calibri"/>
                <w:sz w:val="20"/>
                <w:lang w:eastAsia="en-US"/>
              </w:rPr>
              <w:t>.)</w:t>
            </w:r>
          </w:p>
        </w:tc>
        <w:tc>
          <w:tcPr>
            <w:tcW w:w="2126" w:type="dxa"/>
          </w:tcPr>
          <w:p w14:paraId="7F295455" w14:textId="5D8A540C" w:rsidR="00692BA7" w:rsidRPr="00942379" w:rsidRDefault="00692BA7" w:rsidP="00692BA7">
            <w:pPr>
              <w:jc w:val="center"/>
              <w:rPr>
                <w:b/>
                <w:sz w:val="22"/>
                <w:szCs w:val="22"/>
              </w:rPr>
            </w:pPr>
          </w:p>
        </w:tc>
      </w:tr>
      <w:tr w:rsidR="00692BA7" w:rsidRPr="007067AE" w14:paraId="11AC1850" w14:textId="77777777" w:rsidTr="00692BA7">
        <w:trPr>
          <w:trHeight w:val="461"/>
        </w:trPr>
        <w:tc>
          <w:tcPr>
            <w:tcW w:w="3114" w:type="dxa"/>
            <w:gridSpan w:val="2"/>
          </w:tcPr>
          <w:p w14:paraId="4ABB1937" w14:textId="77777777" w:rsidR="00692BA7" w:rsidRPr="00D1407F" w:rsidRDefault="00692BA7" w:rsidP="00692BA7">
            <w:pPr>
              <w:jc w:val="both"/>
              <w:rPr>
                <w:sz w:val="20"/>
              </w:rPr>
            </w:pPr>
            <w:r w:rsidRPr="00D1407F">
              <w:rPr>
                <w:sz w:val="20"/>
              </w:rPr>
              <w:t>3.3 Для подписантов Договоренности ЕААС о взаимном признании срок представления заявки на очередную паритетную оценку составляет не менее 6 месяцев до запланированной даты оценки.</w:t>
            </w:r>
          </w:p>
        </w:tc>
        <w:tc>
          <w:tcPr>
            <w:tcW w:w="3260" w:type="dxa"/>
            <w:gridSpan w:val="3"/>
          </w:tcPr>
          <w:p w14:paraId="06C33D4F" w14:textId="77777777" w:rsidR="00692BA7" w:rsidRPr="00D1407F" w:rsidRDefault="00692BA7" w:rsidP="00692BA7">
            <w:pPr>
              <w:jc w:val="both"/>
              <w:rPr>
                <w:b/>
                <w:bCs/>
                <w:sz w:val="20"/>
              </w:rPr>
            </w:pPr>
            <w:r w:rsidRPr="00D1407F">
              <w:rPr>
                <w:sz w:val="20"/>
              </w:rPr>
              <w:t xml:space="preserve">3.3 Для подписантов Договоренности ЕААС о взаимном признании срок представления заявки на очередную паритетную оценку составляет не менее </w:t>
            </w:r>
            <w:r w:rsidRPr="00D1407F">
              <w:rPr>
                <w:b/>
                <w:bCs/>
                <w:sz w:val="20"/>
              </w:rPr>
              <w:t>9 месяцев</w:t>
            </w:r>
            <w:r w:rsidRPr="00D1407F">
              <w:rPr>
                <w:sz w:val="20"/>
              </w:rPr>
              <w:t xml:space="preserve"> до запланированной даты оценки.</w:t>
            </w:r>
          </w:p>
        </w:tc>
        <w:tc>
          <w:tcPr>
            <w:tcW w:w="3686" w:type="dxa"/>
            <w:gridSpan w:val="2"/>
          </w:tcPr>
          <w:p w14:paraId="0B13A983" w14:textId="77777777" w:rsidR="00692BA7" w:rsidRPr="00D1407F" w:rsidRDefault="00692BA7" w:rsidP="00692BA7">
            <w:pPr>
              <w:jc w:val="both"/>
              <w:rPr>
                <w:sz w:val="20"/>
              </w:rPr>
            </w:pPr>
            <w:r w:rsidRPr="00D1407F">
              <w:rPr>
                <w:sz w:val="20"/>
              </w:rPr>
              <w:t>Органу по аккредитации, необходимо подготовиться к оценке с учетом распределения текущих работ по плановым оценкам, подготовить материалы, выделить необходимые человеческие, финансовые ресурсы для проведения оценки.</w:t>
            </w:r>
          </w:p>
        </w:tc>
        <w:tc>
          <w:tcPr>
            <w:tcW w:w="2551" w:type="dxa"/>
          </w:tcPr>
          <w:p w14:paraId="051B20F7" w14:textId="1963A755" w:rsidR="00692BA7" w:rsidRPr="007D61F6" w:rsidRDefault="007D61F6" w:rsidP="007D61F6">
            <w:pPr>
              <w:rPr>
                <w:sz w:val="20"/>
              </w:rPr>
            </w:pPr>
            <w:r w:rsidRPr="007D61F6">
              <w:rPr>
                <w:i/>
                <w:iCs/>
                <w:sz w:val="20"/>
              </w:rPr>
              <w:t>Предлагаем обсудить в рамках очередного заседания.</w:t>
            </w:r>
          </w:p>
        </w:tc>
        <w:tc>
          <w:tcPr>
            <w:tcW w:w="2126" w:type="dxa"/>
          </w:tcPr>
          <w:p w14:paraId="0C5AC7B5" w14:textId="59FE1FE9" w:rsidR="00692BA7" w:rsidRPr="00942379" w:rsidRDefault="00692BA7" w:rsidP="00692BA7">
            <w:pPr>
              <w:jc w:val="center"/>
              <w:rPr>
                <w:b/>
                <w:sz w:val="22"/>
                <w:szCs w:val="22"/>
              </w:rPr>
            </w:pPr>
          </w:p>
        </w:tc>
      </w:tr>
      <w:tr w:rsidR="00692BA7" w:rsidRPr="007067AE" w14:paraId="69B809B2" w14:textId="77777777" w:rsidTr="00692BA7">
        <w:trPr>
          <w:trHeight w:val="461"/>
        </w:trPr>
        <w:tc>
          <w:tcPr>
            <w:tcW w:w="3114" w:type="dxa"/>
            <w:gridSpan w:val="2"/>
          </w:tcPr>
          <w:p w14:paraId="122D7953" w14:textId="77777777" w:rsidR="00692BA7" w:rsidRPr="00D1407F" w:rsidRDefault="00692BA7" w:rsidP="00692BA7">
            <w:pPr>
              <w:jc w:val="both"/>
              <w:rPr>
                <w:sz w:val="20"/>
              </w:rPr>
            </w:pPr>
            <w:r w:rsidRPr="00D1407F">
              <w:rPr>
                <w:sz w:val="20"/>
              </w:rPr>
              <w:t>3.6 Секретариат ЕААС проверяет соответствие заявки установленным требованиям и наличие необходимых сопроводительных документов, заполняя чек-лист по форме ___________. При необходимости Секретариат ЕААС вправе запросить у заявителя дополнительные документы/материалы/уточнения.</w:t>
            </w:r>
          </w:p>
        </w:tc>
        <w:tc>
          <w:tcPr>
            <w:tcW w:w="3260" w:type="dxa"/>
            <w:gridSpan w:val="3"/>
          </w:tcPr>
          <w:p w14:paraId="75942AD5" w14:textId="77777777" w:rsidR="00692BA7" w:rsidRPr="00D1407F" w:rsidRDefault="00692BA7" w:rsidP="00692BA7">
            <w:pPr>
              <w:jc w:val="both"/>
              <w:rPr>
                <w:sz w:val="20"/>
              </w:rPr>
            </w:pPr>
          </w:p>
        </w:tc>
        <w:tc>
          <w:tcPr>
            <w:tcW w:w="3686" w:type="dxa"/>
            <w:gridSpan w:val="2"/>
          </w:tcPr>
          <w:p w14:paraId="503C2ABC" w14:textId="77777777" w:rsidR="00692BA7" w:rsidRPr="00D1407F" w:rsidRDefault="00692BA7" w:rsidP="00692BA7">
            <w:pPr>
              <w:jc w:val="both"/>
              <w:rPr>
                <w:sz w:val="20"/>
              </w:rPr>
            </w:pPr>
            <w:r w:rsidRPr="00D1407F">
              <w:rPr>
                <w:sz w:val="20"/>
              </w:rPr>
              <w:t xml:space="preserve">При разработке чек-листа необходимо руководствоваться документами </w:t>
            </w:r>
            <w:r w:rsidRPr="00D1407F">
              <w:rPr>
                <w:sz w:val="20"/>
                <w:lang w:val="en-US"/>
              </w:rPr>
              <w:t>APAC</w:t>
            </w:r>
            <w:r w:rsidRPr="00D1407F">
              <w:rPr>
                <w:sz w:val="20"/>
              </w:rPr>
              <w:t xml:space="preserve"> (</w:t>
            </w:r>
            <w:r w:rsidRPr="00D1407F">
              <w:rPr>
                <w:sz w:val="20"/>
                <w:lang w:val="en-US"/>
              </w:rPr>
              <w:t>APAC</w:t>
            </w:r>
            <w:r w:rsidRPr="00D1407F">
              <w:rPr>
                <w:sz w:val="20"/>
              </w:rPr>
              <w:t xml:space="preserve"> </w:t>
            </w:r>
            <w:r w:rsidRPr="00D1407F">
              <w:rPr>
                <w:sz w:val="20"/>
                <w:lang w:val="en-US"/>
              </w:rPr>
              <w:t>FMRA</w:t>
            </w:r>
            <w:r w:rsidRPr="00D1407F">
              <w:rPr>
                <w:sz w:val="20"/>
              </w:rPr>
              <w:t xml:space="preserve">-019 </w:t>
            </w:r>
            <w:r w:rsidRPr="00D1407F">
              <w:rPr>
                <w:sz w:val="20"/>
                <w:lang w:val="en-US"/>
              </w:rPr>
              <w:t>Accreditation</w:t>
            </w:r>
            <w:r w:rsidRPr="00D1407F">
              <w:rPr>
                <w:sz w:val="20"/>
              </w:rPr>
              <w:t xml:space="preserve"> </w:t>
            </w:r>
            <w:r w:rsidRPr="00D1407F">
              <w:rPr>
                <w:sz w:val="20"/>
                <w:lang w:val="en-US"/>
              </w:rPr>
              <w:t>Body</w:t>
            </w:r>
            <w:r w:rsidRPr="00D1407F">
              <w:rPr>
                <w:sz w:val="20"/>
              </w:rPr>
              <w:t xml:space="preserve"> </w:t>
            </w:r>
            <w:r w:rsidRPr="00D1407F">
              <w:rPr>
                <w:sz w:val="20"/>
                <w:lang w:val="en-US"/>
              </w:rPr>
              <w:t>Evaluation</w:t>
            </w:r>
            <w:r w:rsidRPr="00D1407F">
              <w:rPr>
                <w:sz w:val="20"/>
              </w:rPr>
              <w:t xml:space="preserve"> </w:t>
            </w:r>
            <w:r w:rsidRPr="00D1407F">
              <w:rPr>
                <w:sz w:val="20"/>
                <w:lang w:val="en-US"/>
              </w:rPr>
              <w:t>Documentation</w:t>
            </w:r>
            <w:r w:rsidRPr="00D1407F">
              <w:rPr>
                <w:sz w:val="20"/>
              </w:rPr>
              <w:t xml:space="preserve"> </w:t>
            </w:r>
            <w:r w:rsidRPr="00D1407F">
              <w:rPr>
                <w:sz w:val="20"/>
                <w:lang w:val="en-US"/>
              </w:rPr>
              <w:t>Checklist</w:t>
            </w:r>
            <w:r w:rsidRPr="00D1407F">
              <w:rPr>
                <w:sz w:val="20"/>
              </w:rPr>
              <w:t>)</w:t>
            </w:r>
          </w:p>
          <w:p w14:paraId="2F4043CB" w14:textId="77777777" w:rsidR="00692BA7" w:rsidRPr="00D1407F" w:rsidRDefault="00692BA7" w:rsidP="00692BA7">
            <w:pPr>
              <w:jc w:val="both"/>
              <w:rPr>
                <w:sz w:val="20"/>
              </w:rPr>
            </w:pPr>
          </w:p>
        </w:tc>
        <w:tc>
          <w:tcPr>
            <w:tcW w:w="2551" w:type="dxa"/>
          </w:tcPr>
          <w:p w14:paraId="439C9C0F" w14:textId="4A8CD3B4" w:rsidR="00692BA7" w:rsidRPr="005C68E5" w:rsidRDefault="007D61F6" w:rsidP="007D61F6">
            <w:pPr>
              <w:rPr>
                <w:b/>
                <w:sz w:val="20"/>
              </w:rPr>
            </w:pPr>
            <w:r w:rsidRPr="005C68E5">
              <w:rPr>
                <w:bCs/>
                <w:i/>
                <w:iCs/>
                <w:sz w:val="20"/>
              </w:rPr>
              <w:t>Предлагаем обсудить в рамках очередного заседания и принять.</w:t>
            </w:r>
          </w:p>
        </w:tc>
        <w:tc>
          <w:tcPr>
            <w:tcW w:w="2126" w:type="dxa"/>
          </w:tcPr>
          <w:p w14:paraId="4F757FE3" w14:textId="7CCC45BF" w:rsidR="00692BA7" w:rsidRPr="00942379" w:rsidRDefault="00692BA7" w:rsidP="00692BA7">
            <w:pPr>
              <w:jc w:val="center"/>
              <w:rPr>
                <w:b/>
                <w:sz w:val="22"/>
                <w:szCs w:val="22"/>
              </w:rPr>
            </w:pPr>
          </w:p>
        </w:tc>
      </w:tr>
      <w:tr w:rsidR="00692BA7" w:rsidRPr="007067AE" w14:paraId="4A50C1EF" w14:textId="77777777" w:rsidTr="00692BA7">
        <w:trPr>
          <w:trHeight w:val="461"/>
        </w:trPr>
        <w:tc>
          <w:tcPr>
            <w:tcW w:w="3114" w:type="dxa"/>
            <w:gridSpan w:val="2"/>
          </w:tcPr>
          <w:p w14:paraId="5458D086" w14:textId="77777777" w:rsidR="00692BA7" w:rsidRPr="00D1407F" w:rsidRDefault="00692BA7" w:rsidP="00692BA7">
            <w:pPr>
              <w:jc w:val="both"/>
              <w:rPr>
                <w:sz w:val="20"/>
              </w:rPr>
            </w:pPr>
            <w:r w:rsidRPr="00D1407F">
              <w:rPr>
                <w:sz w:val="20"/>
              </w:rPr>
              <w:t xml:space="preserve">4.3 При назначении руководителя и заместителя руководителя </w:t>
            </w:r>
            <w:proofErr w:type="gramStart"/>
            <w:r w:rsidRPr="00D1407F">
              <w:rPr>
                <w:sz w:val="20"/>
              </w:rPr>
              <w:t>группы по паритетной оценке</w:t>
            </w:r>
            <w:proofErr w:type="gramEnd"/>
            <w:r w:rsidRPr="00D1407F">
              <w:rPr>
                <w:sz w:val="20"/>
              </w:rPr>
              <w:t xml:space="preserve"> Совет по Договоренности руководствуется следующими принципами:</w:t>
            </w:r>
          </w:p>
          <w:p w14:paraId="6E447CDE" w14:textId="77777777" w:rsidR="00692BA7" w:rsidRPr="00D1407F" w:rsidRDefault="00692BA7" w:rsidP="00692BA7">
            <w:pPr>
              <w:jc w:val="both"/>
              <w:rPr>
                <w:sz w:val="20"/>
              </w:rPr>
            </w:pPr>
            <w:r w:rsidRPr="00D1407F">
              <w:rPr>
                <w:sz w:val="20"/>
              </w:rPr>
              <w:t>…</w:t>
            </w:r>
          </w:p>
          <w:p w14:paraId="547748D5" w14:textId="77777777" w:rsidR="00692BA7" w:rsidRPr="00D1407F" w:rsidRDefault="00692BA7" w:rsidP="00692BA7">
            <w:pPr>
              <w:jc w:val="both"/>
              <w:rPr>
                <w:sz w:val="20"/>
              </w:rPr>
            </w:pPr>
            <w:r w:rsidRPr="00D1407F">
              <w:rPr>
                <w:sz w:val="20"/>
              </w:rPr>
              <w:t xml:space="preserve">в) следует избегать назначения руководителем группы представителя органа по аккредитации, относительно недавно прошедшего паритетную оценку под руководством оценщика из органа по аккредитации, заявляющегося на паритетную оценку; на обсуждение членов РГ – насколько возможно реализовать данное положение в </w:t>
            </w:r>
            <w:proofErr w:type="gramStart"/>
            <w:r w:rsidRPr="00D1407F">
              <w:rPr>
                <w:sz w:val="20"/>
              </w:rPr>
              <w:t>ЕААС?…</w:t>
            </w:r>
            <w:proofErr w:type="gramEnd"/>
          </w:p>
        </w:tc>
        <w:tc>
          <w:tcPr>
            <w:tcW w:w="3260" w:type="dxa"/>
            <w:gridSpan w:val="3"/>
          </w:tcPr>
          <w:p w14:paraId="7F31FAB4" w14:textId="77777777" w:rsidR="00692BA7" w:rsidRPr="00D1407F" w:rsidRDefault="00692BA7" w:rsidP="00692BA7">
            <w:pPr>
              <w:jc w:val="both"/>
              <w:rPr>
                <w:sz w:val="20"/>
              </w:rPr>
            </w:pPr>
            <w:r w:rsidRPr="00D1407F">
              <w:rPr>
                <w:sz w:val="20"/>
              </w:rPr>
              <w:t xml:space="preserve">Исключить </w:t>
            </w:r>
            <w:proofErr w:type="spellStart"/>
            <w:r w:rsidRPr="00D1407F">
              <w:rPr>
                <w:sz w:val="20"/>
              </w:rPr>
              <w:t>пп</w:t>
            </w:r>
            <w:proofErr w:type="spellEnd"/>
            <w:r w:rsidRPr="00D1407F">
              <w:rPr>
                <w:sz w:val="20"/>
              </w:rPr>
              <w:t>. в)</w:t>
            </w:r>
          </w:p>
        </w:tc>
        <w:tc>
          <w:tcPr>
            <w:tcW w:w="3686" w:type="dxa"/>
            <w:gridSpan w:val="2"/>
          </w:tcPr>
          <w:p w14:paraId="3B6BB7BD" w14:textId="77777777" w:rsidR="00692BA7" w:rsidRPr="00D1407F" w:rsidRDefault="00692BA7" w:rsidP="00692BA7">
            <w:pPr>
              <w:jc w:val="both"/>
              <w:rPr>
                <w:sz w:val="20"/>
              </w:rPr>
            </w:pPr>
            <w:r w:rsidRPr="00D1407F">
              <w:rPr>
                <w:sz w:val="20"/>
              </w:rPr>
              <w:t xml:space="preserve">Предлагается исключить </w:t>
            </w:r>
            <w:proofErr w:type="spellStart"/>
            <w:r w:rsidRPr="00D1407F">
              <w:rPr>
                <w:sz w:val="20"/>
              </w:rPr>
              <w:t>пп</w:t>
            </w:r>
            <w:proofErr w:type="spellEnd"/>
            <w:r w:rsidRPr="00D1407F">
              <w:rPr>
                <w:sz w:val="20"/>
              </w:rPr>
              <w:t>. в), во-первых, человеческие ресурсы для проведения паритетной оценки ограничены, учитывая количество стран. Во-вторых, согласно Порядку осуществления паритетных оценок п. 4.2 Руководитель и заместитель руководителя группы по оценке избираются из числа оценщиков, включенных в Реестр оценщиков ЕААС, то есть прошедших обучение и подтвердивших соответствие определенным критериям. В-третьих, термин «относительно недавно» расплывчатое.</w:t>
            </w:r>
          </w:p>
        </w:tc>
        <w:tc>
          <w:tcPr>
            <w:tcW w:w="2551" w:type="dxa"/>
          </w:tcPr>
          <w:p w14:paraId="46893843" w14:textId="213E8F3E" w:rsidR="00692BA7" w:rsidRPr="00942379" w:rsidRDefault="00560F48" w:rsidP="00560F48">
            <w:pPr>
              <w:rPr>
                <w:b/>
                <w:sz w:val="22"/>
                <w:szCs w:val="22"/>
              </w:rPr>
            </w:pPr>
            <w:r w:rsidRPr="00560F48">
              <w:rPr>
                <w:bCs/>
                <w:i/>
                <w:iCs/>
                <w:sz w:val="22"/>
                <w:szCs w:val="22"/>
              </w:rPr>
              <w:t>Предлагаем обсудить в рамках очередного заседания совместно с предложением КЦА по данному пункту</w:t>
            </w:r>
          </w:p>
        </w:tc>
        <w:tc>
          <w:tcPr>
            <w:tcW w:w="2126" w:type="dxa"/>
          </w:tcPr>
          <w:p w14:paraId="2E749A50" w14:textId="6A1BC609" w:rsidR="00692BA7" w:rsidRPr="00942379" w:rsidRDefault="00692BA7" w:rsidP="00692BA7">
            <w:pPr>
              <w:jc w:val="center"/>
              <w:rPr>
                <w:b/>
                <w:sz w:val="22"/>
                <w:szCs w:val="22"/>
              </w:rPr>
            </w:pPr>
          </w:p>
        </w:tc>
      </w:tr>
      <w:tr w:rsidR="00692BA7" w:rsidRPr="007067AE" w14:paraId="648B488F" w14:textId="77777777" w:rsidTr="00692BA7">
        <w:trPr>
          <w:trHeight w:val="461"/>
        </w:trPr>
        <w:tc>
          <w:tcPr>
            <w:tcW w:w="3114" w:type="dxa"/>
            <w:gridSpan w:val="2"/>
          </w:tcPr>
          <w:p w14:paraId="172CC39F" w14:textId="77777777" w:rsidR="00692BA7" w:rsidRPr="00D1407F" w:rsidRDefault="00692BA7" w:rsidP="00692BA7">
            <w:pPr>
              <w:jc w:val="both"/>
              <w:rPr>
                <w:sz w:val="20"/>
              </w:rPr>
            </w:pPr>
            <w:r w:rsidRPr="00D1407F">
              <w:rPr>
                <w:sz w:val="20"/>
              </w:rPr>
              <w:t xml:space="preserve">4.8 Секретариат ЕААС информирует орган по аккредитации о составе </w:t>
            </w:r>
            <w:proofErr w:type="gramStart"/>
            <w:r w:rsidRPr="00D1407F">
              <w:rPr>
                <w:sz w:val="20"/>
              </w:rPr>
              <w:t>группы по паритетной оценке</w:t>
            </w:r>
            <w:proofErr w:type="gramEnd"/>
            <w:r w:rsidRPr="00D1407F">
              <w:rPr>
                <w:sz w:val="20"/>
              </w:rPr>
              <w:t xml:space="preserve"> (включая наблюдателей) за __ месяцев до даты оценки с целью предоставления возможности органу по аккредитации, подвергаемому оценке, представить обоснованное возражение по конкретным кандидатурам группы.</w:t>
            </w:r>
          </w:p>
        </w:tc>
        <w:tc>
          <w:tcPr>
            <w:tcW w:w="3260" w:type="dxa"/>
            <w:gridSpan w:val="3"/>
          </w:tcPr>
          <w:p w14:paraId="2B595D6A" w14:textId="77777777" w:rsidR="00692BA7" w:rsidRPr="00D1407F" w:rsidRDefault="00692BA7" w:rsidP="00692BA7">
            <w:pPr>
              <w:jc w:val="both"/>
              <w:rPr>
                <w:sz w:val="20"/>
              </w:rPr>
            </w:pPr>
            <w:r w:rsidRPr="00D1407F">
              <w:rPr>
                <w:sz w:val="20"/>
              </w:rPr>
              <w:t xml:space="preserve">4.8 Секретариат ЕААС информирует орган по аккредитации о составе </w:t>
            </w:r>
            <w:proofErr w:type="gramStart"/>
            <w:r w:rsidRPr="00D1407F">
              <w:rPr>
                <w:sz w:val="20"/>
              </w:rPr>
              <w:t>группы по паритетной оценке</w:t>
            </w:r>
            <w:proofErr w:type="gramEnd"/>
            <w:r w:rsidRPr="00D1407F">
              <w:rPr>
                <w:sz w:val="20"/>
              </w:rPr>
              <w:t xml:space="preserve"> (включая наблюдателей) </w:t>
            </w:r>
            <w:r w:rsidRPr="00D1407F">
              <w:rPr>
                <w:b/>
                <w:bCs/>
                <w:sz w:val="20"/>
              </w:rPr>
              <w:t>за 4 месяца</w:t>
            </w:r>
            <w:r w:rsidRPr="00D1407F">
              <w:rPr>
                <w:sz w:val="20"/>
              </w:rPr>
              <w:t xml:space="preserve"> до даты оценки с целью предоставления возможности органу по аккредитации, подвергаемому оценке, представить обоснованное возражение по конкретным кандидатурам группы.</w:t>
            </w:r>
          </w:p>
        </w:tc>
        <w:tc>
          <w:tcPr>
            <w:tcW w:w="3686" w:type="dxa"/>
            <w:gridSpan w:val="2"/>
          </w:tcPr>
          <w:p w14:paraId="1E617D42" w14:textId="77777777" w:rsidR="00692BA7" w:rsidRPr="00D1407F" w:rsidRDefault="00692BA7" w:rsidP="00692BA7">
            <w:pPr>
              <w:jc w:val="both"/>
              <w:rPr>
                <w:sz w:val="20"/>
              </w:rPr>
            </w:pPr>
            <w:r w:rsidRPr="00D1407F">
              <w:rPr>
                <w:sz w:val="20"/>
              </w:rPr>
              <w:t>Предлагается установить срок за 4 месяца до даты оценки с учетом согласования группы по оценке, анализа документов заявителя и подготовки самого органа по аккредитации, подвергаемого к оценке, так как органу по аккредитации, необходимо подготовиться к оценке с учетом распределения текущих работ по плановым оценкам, подготовить материалы, выделить необходимые человеческие, финансовые ресурсы для проведения оценки и пункта 5.1 проекта Порядка.</w:t>
            </w:r>
          </w:p>
        </w:tc>
        <w:tc>
          <w:tcPr>
            <w:tcW w:w="2551" w:type="dxa"/>
          </w:tcPr>
          <w:p w14:paraId="4FD30813" w14:textId="768C3618" w:rsidR="00692BA7" w:rsidRPr="00CC6903" w:rsidRDefault="0095701D" w:rsidP="0095701D">
            <w:pPr>
              <w:rPr>
                <w:b/>
                <w:sz w:val="20"/>
              </w:rPr>
            </w:pPr>
            <w:r w:rsidRPr="00CC6903">
              <w:rPr>
                <w:bCs/>
                <w:i/>
                <w:iCs/>
                <w:sz w:val="20"/>
              </w:rPr>
              <w:t>Предлагаем обсудить в рамках очередного заседания.</w:t>
            </w:r>
          </w:p>
        </w:tc>
        <w:tc>
          <w:tcPr>
            <w:tcW w:w="2126" w:type="dxa"/>
          </w:tcPr>
          <w:p w14:paraId="1D0F06F9" w14:textId="194038E2" w:rsidR="00692BA7" w:rsidRPr="00942379" w:rsidRDefault="00692BA7" w:rsidP="00692BA7">
            <w:pPr>
              <w:jc w:val="center"/>
              <w:rPr>
                <w:b/>
                <w:sz w:val="22"/>
                <w:szCs w:val="22"/>
              </w:rPr>
            </w:pPr>
          </w:p>
        </w:tc>
      </w:tr>
      <w:tr w:rsidR="00692BA7" w:rsidRPr="007067AE" w14:paraId="32F9A103" w14:textId="77777777" w:rsidTr="00692BA7">
        <w:trPr>
          <w:trHeight w:val="461"/>
        </w:trPr>
        <w:tc>
          <w:tcPr>
            <w:tcW w:w="3114" w:type="dxa"/>
            <w:gridSpan w:val="2"/>
          </w:tcPr>
          <w:p w14:paraId="4E6B8870" w14:textId="77777777" w:rsidR="00692BA7" w:rsidRPr="00D1407F" w:rsidRDefault="00692BA7" w:rsidP="00692BA7">
            <w:pPr>
              <w:jc w:val="both"/>
              <w:rPr>
                <w:sz w:val="20"/>
              </w:rPr>
            </w:pPr>
            <w:r w:rsidRPr="00D1407F">
              <w:rPr>
                <w:sz w:val="20"/>
              </w:rPr>
              <w:t>5.2 Руководитель группы и члены группы по оценке рассматривают документацию, представленную органом по аккредитации. Срок рассмотрения документов не должен превышать 30 дней.</w:t>
            </w:r>
          </w:p>
        </w:tc>
        <w:tc>
          <w:tcPr>
            <w:tcW w:w="3260" w:type="dxa"/>
            <w:gridSpan w:val="3"/>
          </w:tcPr>
          <w:p w14:paraId="0E5E1F83" w14:textId="77777777" w:rsidR="00692BA7" w:rsidRPr="00D1407F" w:rsidRDefault="00692BA7" w:rsidP="00692BA7">
            <w:pPr>
              <w:jc w:val="both"/>
              <w:rPr>
                <w:sz w:val="20"/>
              </w:rPr>
            </w:pPr>
            <w:r w:rsidRPr="00D1407F">
              <w:rPr>
                <w:sz w:val="20"/>
              </w:rPr>
              <w:t xml:space="preserve">5.2 Руководитель группы и члены группы по оценке рассматривают документацию, представленную органом по аккредитации. Срок рассмотрения документов не должен превышать 30 дней. </w:t>
            </w:r>
            <w:r w:rsidRPr="00D1407F">
              <w:rPr>
                <w:b/>
                <w:bCs/>
                <w:sz w:val="20"/>
              </w:rPr>
              <w:t>В случае необходимости руководитель группы по оценке может запросить дополнительную информацию у органа по аккредитации, подвергаемого оценке.</w:t>
            </w:r>
          </w:p>
        </w:tc>
        <w:tc>
          <w:tcPr>
            <w:tcW w:w="3686" w:type="dxa"/>
            <w:gridSpan w:val="2"/>
          </w:tcPr>
          <w:p w14:paraId="4BEB8A81" w14:textId="77777777" w:rsidR="00692BA7" w:rsidRPr="00D1407F" w:rsidRDefault="00692BA7" w:rsidP="00692BA7">
            <w:pPr>
              <w:jc w:val="both"/>
              <w:rPr>
                <w:sz w:val="20"/>
              </w:rPr>
            </w:pPr>
          </w:p>
        </w:tc>
        <w:tc>
          <w:tcPr>
            <w:tcW w:w="2551" w:type="dxa"/>
          </w:tcPr>
          <w:p w14:paraId="343E8F94" w14:textId="2F501ED3" w:rsidR="00692BA7" w:rsidRPr="00CC6903" w:rsidRDefault="0095701D" w:rsidP="0095701D">
            <w:pPr>
              <w:rPr>
                <w:b/>
                <w:sz w:val="20"/>
              </w:rPr>
            </w:pPr>
            <w:r w:rsidRPr="00CC6903">
              <w:rPr>
                <w:bCs/>
                <w:i/>
                <w:iCs/>
                <w:sz w:val="20"/>
              </w:rPr>
              <w:t>Предлагаем обсудить в рамках очередного заседания и принять.</w:t>
            </w:r>
          </w:p>
        </w:tc>
        <w:tc>
          <w:tcPr>
            <w:tcW w:w="2126" w:type="dxa"/>
          </w:tcPr>
          <w:p w14:paraId="262D4D42" w14:textId="6DE98FCD" w:rsidR="00692BA7" w:rsidRPr="00942379" w:rsidRDefault="00692BA7" w:rsidP="00692BA7">
            <w:pPr>
              <w:jc w:val="center"/>
              <w:rPr>
                <w:b/>
                <w:sz w:val="22"/>
                <w:szCs w:val="22"/>
              </w:rPr>
            </w:pPr>
          </w:p>
        </w:tc>
      </w:tr>
      <w:tr w:rsidR="00692BA7" w:rsidRPr="007067AE" w14:paraId="66A44076" w14:textId="77777777" w:rsidTr="00692BA7">
        <w:trPr>
          <w:trHeight w:val="461"/>
        </w:trPr>
        <w:tc>
          <w:tcPr>
            <w:tcW w:w="3114" w:type="dxa"/>
            <w:gridSpan w:val="2"/>
          </w:tcPr>
          <w:p w14:paraId="2DA2C73C" w14:textId="77777777" w:rsidR="00692BA7" w:rsidRPr="00D1407F" w:rsidRDefault="00692BA7" w:rsidP="00692BA7">
            <w:pPr>
              <w:jc w:val="both"/>
              <w:rPr>
                <w:sz w:val="20"/>
              </w:rPr>
            </w:pPr>
            <w:r w:rsidRPr="00D1407F">
              <w:rPr>
                <w:sz w:val="20"/>
              </w:rPr>
              <w:t>6.3 Руководитель группы по предварительной составляет программу оценки, которая должна охватить следующие аспекты деятельности оцениваемого органа по аккредитации:</w:t>
            </w:r>
          </w:p>
          <w:p w14:paraId="58C205CA" w14:textId="77777777" w:rsidR="00692BA7" w:rsidRPr="00D1407F" w:rsidRDefault="00692BA7" w:rsidP="00692BA7">
            <w:pPr>
              <w:jc w:val="both"/>
              <w:rPr>
                <w:sz w:val="20"/>
              </w:rPr>
            </w:pPr>
            <w:r w:rsidRPr="00D1407F">
              <w:rPr>
                <w:sz w:val="20"/>
              </w:rPr>
              <w:t>− юридический статус органа по аккредитации;</w:t>
            </w:r>
          </w:p>
          <w:p w14:paraId="2664EAAE" w14:textId="77777777" w:rsidR="00692BA7" w:rsidRPr="00D1407F" w:rsidRDefault="00692BA7" w:rsidP="00692BA7">
            <w:pPr>
              <w:jc w:val="both"/>
              <w:rPr>
                <w:sz w:val="20"/>
              </w:rPr>
            </w:pPr>
            <w:r w:rsidRPr="00D1407F">
              <w:rPr>
                <w:sz w:val="20"/>
              </w:rPr>
              <w:t>− политики и процедуры органа по аккредитации;</w:t>
            </w:r>
          </w:p>
          <w:p w14:paraId="088BD5F4" w14:textId="77777777" w:rsidR="00692BA7" w:rsidRPr="00D1407F" w:rsidRDefault="00692BA7" w:rsidP="00692BA7">
            <w:pPr>
              <w:jc w:val="both"/>
              <w:rPr>
                <w:sz w:val="20"/>
              </w:rPr>
            </w:pPr>
            <w:r w:rsidRPr="00D1407F">
              <w:rPr>
                <w:sz w:val="20"/>
              </w:rPr>
              <w:t>− взаимоотношения и взаимодействие с регулирующими органами и иными органами и организациями (например, внутри государства и за его пределами, в т.ч. статус органа по аккредитации в международных и региональных организациях по аккредитации);</w:t>
            </w:r>
          </w:p>
          <w:p w14:paraId="779BA2B7" w14:textId="77777777" w:rsidR="00692BA7" w:rsidRPr="00D1407F" w:rsidRDefault="00692BA7" w:rsidP="00692BA7">
            <w:pPr>
              <w:jc w:val="both"/>
              <w:rPr>
                <w:sz w:val="20"/>
              </w:rPr>
            </w:pPr>
            <w:r w:rsidRPr="00D1407F">
              <w:rPr>
                <w:sz w:val="20"/>
              </w:rPr>
              <w:t>− организационная структура органа по аккредитации;</w:t>
            </w:r>
          </w:p>
          <w:p w14:paraId="28BE45B6" w14:textId="77777777" w:rsidR="00692BA7" w:rsidRPr="00D1407F" w:rsidRDefault="00692BA7" w:rsidP="00692BA7">
            <w:pPr>
              <w:jc w:val="both"/>
              <w:rPr>
                <w:sz w:val="20"/>
              </w:rPr>
            </w:pPr>
            <w:r w:rsidRPr="00D1407F">
              <w:rPr>
                <w:sz w:val="20"/>
              </w:rPr>
              <w:t>− должностные инструкции и профессиональное образование руководства и ключевого персонала;</w:t>
            </w:r>
          </w:p>
          <w:p w14:paraId="26851B14" w14:textId="77777777" w:rsidR="00692BA7" w:rsidRPr="00D1407F" w:rsidRDefault="00692BA7" w:rsidP="00692BA7">
            <w:pPr>
              <w:jc w:val="both"/>
              <w:rPr>
                <w:sz w:val="20"/>
              </w:rPr>
            </w:pPr>
            <w:r w:rsidRPr="00D1407F">
              <w:rPr>
                <w:sz w:val="20"/>
              </w:rPr>
              <w:t>− обеспечение беспристрастности и управление конфликтами интересов;</w:t>
            </w:r>
          </w:p>
          <w:p w14:paraId="5B6C9E70" w14:textId="77777777" w:rsidR="00692BA7" w:rsidRPr="00D1407F" w:rsidRDefault="00692BA7" w:rsidP="00692BA7">
            <w:pPr>
              <w:jc w:val="both"/>
              <w:rPr>
                <w:sz w:val="20"/>
              </w:rPr>
            </w:pPr>
            <w:r w:rsidRPr="00D1407F">
              <w:rPr>
                <w:sz w:val="20"/>
              </w:rPr>
              <w:t>− взаимоотношения со смежными органами;</w:t>
            </w:r>
          </w:p>
          <w:p w14:paraId="71071629" w14:textId="77777777" w:rsidR="00692BA7" w:rsidRPr="00D1407F" w:rsidRDefault="00692BA7" w:rsidP="00692BA7">
            <w:pPr>
              <w:jc w:val="both"/>
              <w:rPr>
                <w:sz w:val="20"/>
              </w:rPr>
            </w:pPr>
            <w:r w:rsidRPr="00D1407F">
              <w:rPr>
                <w:sz w:val="20"/>
              </w:rPr>
              <w:t>− доступ органа по аккредитации к техническим знаниям и опыту;</w:t>
            </w:r>
          </w:p>
          <w:p w14:paraId="37EA1D2E" w14:textId="77777777" w:rsidR="00692BA7" w:rsidRPr="00D1407F" w:rsidRDefault="00692BA7" w:rsidP="00692BA7">
            <w:pPr>
              <w:jc w:val="both"/>
              <w:rPr>
                <w:sz w:val="20"/>
              </w:rPr>
            </w:pPr>
            <w:r w:rsidRPr="00D1407F">
              <w:rPr>
                <w:sz w:val="20"/>
              </w:rPr>
              <w:t>− ведение записей о персонале органа по аккредитации;</w:t>
            </w:r>
          </w:p>
          <w:p w14:paraId="2B6E31F9" w14:textId="77777777" w:rsidR="00692BA7" w:rsidRPr="00D1407F" w:rsidRDefault="00692BA7" w:rsidP="00692BA7">
            <w:pPr>
              <w:jc w:val="both"/>
              <w:rPr>
                <w:sz w:val="20"/>
              </w:rPr>
            </w:pPr>
            <w:r w:rsidRPr="00D1407F">
              <w:rPr>
                <w:sz w:val="20"/>
              </w:rPr>
              <w:t>− отбор записей об оценке органов по оценке соответствия, включая процесс принятия решений;</w:t>
            </w:r>
          </w:p>
          <w:p w14:paraId="3D7FE324" w14:textId="77777777" w:rsidR="00692BA7" w:rsidRPr="00D1407F" w:rsidRDefault="00692BA7" w:rsidP="00692BA7">
            <w:pPr>
              <w:jc w:val="both"/>
              <w:rPr>
                <w:sz w:val="20"/>
              </w:rPr>
            </w:pPr>
            <w:r w:rsidRPr="00D1407F">
              <w:rPr>
                <w:sz w:val="20"/>
              </w:rPr>
              <w:t>− участие в проверках квалификации (для аккредитации испытательных и калибровочных лабораторий и, при необходимости, инспекционных органов);</w:t>
            </w:r>
          </w:p>
          <w:p w14:paraId="6E39B311" w14:textId="77777777" w:rsidR="00692BA7" w:rsidRPr="00D1407F" w:rsidRDefault="00692BA7" w:rsidP="00692BA7">
            <w:pPr>
              <w:jc w:val="both"/>
              <w:rPr>
                <w:sz w:val="20"/>
              </w:rPr>
            </w:pPr>
            <w:r w:rsidRPr="00D1407F">
              <w:rPr>
                <w:sz w:val="20"/>
              </w:rPr>
              <w:t>− установленные способы обеспечения прослеживаемости измерений (для аккредитации испытательных и калибровочных лабораторий и, при необходимости, инспекционных органов). В некоторых случаях может понадобиться посетить национальный метрологический институт;</w:t>
            </w:r>
          </w:p>
          <w:p w14:paraId="36978EF5" w14:textId="77777777" w:rsidR="00692BA7" w:rsidRPr="00D1407F" w:rsidRDefault="00692BA7" w:rsidP="00692BA7">
            <w:pPr>
              <w:jc w:val="both"/>
              <w:rPr>
                <w:sz w:val="20"/>
              </w:rPr>
            </w:pPr>
            <w:r w:rsidRPr="00D1407F">
              <w:rPr>
                <w:sz w:val="20"/>
              </w:rPr>
              <w:t>− процесс принятия решений по аккредитации;</w:t>
            </w:r>
          </w:p>
          <w:p w14:paraId="6F54298A" w14:textId="77777777" w:rsidR="00692BA7" w:rsidRPr="00D1407F" w:rsidRDefault="00692BA7" w:rsidP="00692BA7">
            <w:pPr>
              <w:jc w:val="both"/>
              <w:rPr>
                <w:sz w:val="20"/>
              </w:rPr>
            </w:pPr>
            <w:r w:rsidRPr="00D1407F">
              <w:rPr>
                <w:sz w:val="20"/>
              </w:rPr>
              <w:t>− наблюдение одной или более оценок, если возможно.</w:t>
            </w:r>
          </w:p>
        </w:tc>
        <w:tc>
          <w:tcPr>
            <w:tcW w:w="3260" w:type="dxa"/>
            <w:gridSpan w:val="3"/>
          </w:tcPr>
          <w:p w14:paraId="0ACA797D" w14:textId="77777777" w:rsidR="00692BA7" w:rsidRPr="00D1407F" w:rsidRDefault="00692BA7" w:rsidP="00692BA7">
            <w:pPr>
              <w:jc w:val="both"/>
              <w:rPr>
                <w:sz w:val="20"/>
              </w:rPr>
            </w:pPr>
            <w:r w:rsidRPr="00D1407F">
              <w:rPr>
                <w:sz w:val="20"/>
              </w:rPr>
              <w:t>6.3 Руководитель группы по предварительной составляет программу оценки, которая должна охватить следующие аспекты деятельности оцениваемого органа по аккредитации:</w:t>
            </w:r>
          </w:p>
          <w:p w14:paraId="14A368AF" w14:textId="77777777" w:rsidR="00692BA7" w:rsidRPr="00D1407F" w:rsidRDefault="00692BA7" w:rsidP="00692BA7">
            <w:pPr>
              <w:jc w:val="both"/>
              <w:rPr>
                <w:sz w:val="20"/>
              </w:rPr>
            </w:pPr>
            <w:r w:rsidRPr="00D1407F">
              <w:rPr>
                <w:sz w:val="20"/>
              </w:rPr>
              <w:t>− юридический статус органа по аккредитации;</w:t>
            </w:r>
          </w:p>
          <w:p w14:paraId="5BF3C4DC" w14:textId="77777777" w:rsidR="00692BA7" w:rsidRPr="00D1407F" w:rsidRDefault="00692BA7" w:rsidP="00692BA7">
            <w:pPr>
              <w:jc w:val="both"/>
              <w:rPr>
                <w:sz w:val="20"/>
              </w:rPr>
            </w:pPr>
            <w:r w:rsidRPr="00D1407F">
              <w:rPr>
                <w:sz w:val="20"/>
              </w:rPr>
              <w:t xml:space="preserve">− </w:t>
            </w:r>
            <w:r w:rsidRPr="00D1407F">
              <w:rPr>
                <w:b/>
                <w:bCs/>
                <w:sz w:val="20"/>
              </w:rPr>
              <w:t>принципы и процедуры системы менеджмента (как часть анализа документации, предшествующего предварительной оценке)</w:t>
            </w:r>
            <w:r w:rsidRPr="00D1407F">
              <w:rPr>
                <w:sz w:val="20"/>
              </w:rPr>
              <w:t xml:space="preserve">; </w:t>
            </w:r>
          </w:p>
          <w:p w14:paraId="31D40A1C" w14:textId="77777777" w:rsidR="00692BA7" w:rsidRPr="00D1407F" w:rsidRDefault="00692BA7" w:rsidP="00692BA7">
            <w:pPr>
              <w:jc w:val="both"/>
              <w:rPr>
                <w:sz w:val="20"/>
              </w:rPr>
            </w:pPr>
            <w:r w:rsidRPr="00D1407F">
              <w:rPr>
                <w:sz w:val="20"/>
              </w:rPr>
              <w:t>− взаимоотношения и взаимодействие с регулирующими органами и иными органами и организациями (например, внутри государства и за его пределами, в т.ч. статус органа по аккредитации в международных и региональных организациях по аккредитации);</w:t>
            </w:r>
          </w:p>
          <w:p w14:paraId="2E949403" w14:textId="77777777" w:rsidR="00692BA7" w:rsidRPr="00D1407F" w:rsidRDefault="00692BA7" w:rsidP="00692BA7">
            <w:pPr>
              <w:jc w:val="both"/>
              <w:rPr>
                <w:sz w:val="20"/>
              </w:rPr>
            </w:pPr>
            <w:r w:rsidRPr="00D1407F">
              <w:rPr>
                <w:sz w:val="20"/>
              </w:rPr>
              <w:t xml:space="preserve">− организационная структура органа по аккредитации, </w:t>
            </w:r>
            <w:r w:rsidRPr="00D1407F">
              <w:rPr>
                <w:b/>
                <w:bCs/>
                <w:sz w:val="20"/>
              </w:rPr>
              <w:t>описания работы и опыт работы высшего руководства</w:t>
            </w:r>
            <w:r w:rsidRPr="00D1407F">
              <w:rPr>
                <w:sz w:val="20"/>
              </w:rPr>
              <w:t>;</w:t>
            </w:r>
          </w:p>
          <w:p w14:paraId="14FF07A4" w14:textId="77777777" w:rsidR="00692BA7" w:rsidRPr="00D1407F" w:rsidRDefault="00692BA7" w:rsidP="00692BA7">
            <w:pPr>
              <w:jc w:val="both"/>
              <w:rPr>
                <w:sz w:val="20"/>
              </w:rPr>
            </w:pPr>
            <w:r w:rsidRPr="00D1407F">
              <w:rPr>
                <w:sz w:val="20"/>
              </w:rPr>
              <w:t>− должностные инструкции и профессиональное образование руководства и ключевого персонала;</w:t>
            </w:r>
          </w:p>
          <w:p w14:paraId="16D4DC2C" w14:textId="77777777" w:rsidR="00692BA7" w:rsidRPr="00D1407F" w:rsidRDefault="00692BA7" w:rsidP="00692BA7">
            <w:pPr>
              <w:jc w:val="both"/>
              <w:rPr>
                <w:sz w:val="20"/>
              </w:rPr>
            </w:pPr>
            <w:r w:rsidRPr="00D1407F">
              <w:rPr>
                <w:sz w:val="20"/>
              </w:rPr>
              <w:t>− обеспечение беспристрастности и управление конфликтами интересов;</w:t>
            </w:r>
          </w:p>
          <w:p w14:paraId="7F0F434C" w14:textId="77777777" w:rsidR="00692BA7" w:rsidRPr="00D1407F" w:rsidRDefault="00692BA7" w:rsidP="00692BA7">
            <w:pPr>
              <w:jc w:val="both"/>
              <w:rPr>
                <w:sz w:val="20"/>
              </w:rPr>
            </w:pPr>
            <w:r w:rsidRPr="00D1407F">
              <w:rPr>
                <w:sz w:val="20"/>
              </w:rPr>
              <w:t>− взаимоотношения со смежными органами;</w:t>
            </w:r>
          </w:p>
          <w:p w14:paraId="0795A71C" w14:textId="77777777" w:rsidR="00692BA7" w:rsidRPr="00D1407F" w:rsidRDefault="00692BA7" w:rsidP="00692BA7">
            <w:pPr>
              <w:jc w:val="both"/>
              <w:rPr>
                <w:sz w:val="20"/>
              </w:rPr>
            </w:pPr>
            <w:r w:rsidRPr="00D1407F">
              <w:rPr>
                <w:sz w:val="20"/>
              </w:rPr>
              <w:t>− доступ органа по аккредитации к техническим знаниям и опыту;</w:t>
            </w:r>
          </w:p>
          <w:p w14:paraId="13389140" w14:textId="77777777" w:rsidR="00692BA7" w:rsidRPr="00D1407F" w:rsidRDefault="00692BA7" w:rsidP="00692BA7">
            <w:pPr>
              <w:jc w:val="both"/>
              <w:rPr>
                <w:sz w:val="20"/>
              </w:rPr>
            </w:pPr>
            <w:r w:rsidRPr="00D1407F">
              <w:rPr>
                <w:sz w:val="20"/>
              </w:rPr>
              <w:t>− ведение записей о персонале органа по аккредитации;</w:t>
            </w:r>
          </w:p>
          <w:p w14:paraId="7C2900F0" w14:textId="77777777" w:rsidR="00692BA7" w:rsidRPr="00D1407F" w:rsidRDefault="00692BA7" w:rsidP="00692BA7">
            <w:pPr>
              <w:jc w:val="both"/>
              <w:rPr>
                <w:sz w:val="20"/>
              </w:rPr>
            </w:pPr>
            <w:r w:rsidRPr="00D1407F">
              <w:rPr>
                <w:sz w:val="20"/>
              </w:rPr>
              <w:t>− отбор записей об оценке органов по оценке соответствия, включая процесс принятия решений;</w:t>
            </w:r>
          </w:p>
          <w:p w14:paraId="4C15FC56" w14:textId="77777777" w:rsidR="00692BA7" w:rsidRPr="00D1407F" w:rsidRDefault="00692BA7" w:rsidP="00692BA7">
            <w:pPr>
              <w:jc w:val="both"/>
              <w:rPr>
                <w:sz w:val="20"/>
              </w:rPr>
            </w:pPr>
            <w:r w:rsidRPr="00D1407F">
              <w:rPr>
                <w:sz w:val="20"/>
              </w:rPr>
              <w:t>− участие в проверках квалификации (для аккредитации испытательных и калибровочных лабораторий и, при необходимости, инспекционных органов);</w:t>
            </w:r>
          </w:p>
          <w:p w14:paraId="027E408B" w14:textId="77777777" w:rsidR="00692BA7" w:rsidRPr="00D1407F" w:rsidRDefault="00692BA7" w:rsidP="00692BA7">
            <w:pPr>
              <w:jc w:val="both"/>
              <w:rPr>
                <w:sz w:val="20"/>
              </w:rPr>
            </w:pPr>
            <w:r w:rsidRPr="00D1407F">
              <w:rPr>
                <w:sz w:val="20"/>
              </w:rPr>
              <w:t>− установленные способы обеспечения прослеживаемости измерений (для аккредитации испытательных и калибровочных лабораторий и, при необходимости, инспекционных органов). В некоторых случаях может понадобиться посетить национальный метрологический институт;</w:t>
            </w:r>
          </w:p>
          <w:p w14:paraId="407ECB0B" w14:textId="77777777" w:rsidR="00692BA7" w:rsidRPr="00D1407F" w:rsidRDefault="00692BA7" w:rsidP="00692BA7">
            <w:pPr>
              <w:jc w:val="both"/>
              <w:rPr>
                <w:sz w:val="20"/>
              </w:rPr>
            </w:pPr>
            <w:r w:rsidRPr="00D1407F">
              <w:rPr>
                <w:sz w:val="20"/>
              </w:rPr>
              <w:t>− процесс принятия решений по аккредитации;</w:t>
            </w:r>
          </w:p>
          <w:p w14:paraId="5B4047D4" w14:textId="77777777" w:rsidR="00692BA7" w:rsidRPr="00D1407F" w:rsidRDefault="00692BA7" w:rsidP="00692BA7">
            <w:pPr>
              <w:jc w:val="both"/>
              <w:rPr>
                <w:sz w:val="20"/>
              </w:rPr>
            </w:pPr>
            <w:r w:rsidRPr="00D1407F">
              <w:rPr>
                <w:sz w:val="20"/>
              </w:rPr>
              <w:t>− наблюдение одной или более оценок, если возможно.</w:t>
            </w:r>
          </w:p>
        </w:tc>
        <w:tc>
          <w:tcPr>
            <w:tcW w:w="3686" w:type="dxa"/>
            <w:gridSpan w:val="2"/>
          </w:tcPr>
          <w:p w14:paraId="4C1070E6" w14:textId="77777777" w:rsidR="00692BA7" w:rsidRPr="00D1407F" w:rsidRDefault="00692BA7" w:rsidP="00692BA7">
            <w:pPr>
              <w:jc w:val="both"/>
              <w:rPr>
                <w:sz w:val="20"/>
              </w:rPr>
            </w:pPr>
            <w:r w:rsidRPr="00D1407F">
              <w:rPr>
                <w:sz w:val="20"/>
              </w:rPr>
              <w:t>IAF/ILAC –A2:01/2018</w:t>
            </w:r>
          </w:p>
          <w:p w14:paraId="2DC7FC13" w14:textId="77777777" w:rsidR="00692BA7" w:rsidRPr="00D1407F" w:rsidRDefault="00692BA7" w:rsidP="00692BA7">
            <w:pPr>
              <w:jc w:val="both"/>
              <w:rPr>
                <w:sz w:val="20"/>
              </w:rPr>
            </w:pPr>
            <w:r w:rsidRPr="00D1407F">
              <w:rPr>
                <w:sz w:val="20"/>
              </w:rPr>
              <w:t>ПРИЛОЖЕНИЕ 2: Стандартная программа по оценке Отдельного органа по аккредитации</w:t>
            </w:r>
          </w:p>
          <w:p w14:paraId="6C1E3A8B" w14:textId="77777777" w:rsidR="00692BA7" w:rsidRPr="00D1407F" w:rsidRDefault="00692BA7" w:rsidP="00692BA7">
            <w:pPr>
              <w:jc w:val="both"/>
              <w:rPr>
                <w:sz w:val="20"/>
              </w:rPr>
            </w:pPr>
            <w:r w:rsidRPr="00D1407F">
              <w:rPr>
                <w:sz w:val="20"/>
              </w:rPr>
              <w:t>A. Программа предварительной оценки</w:t>
            </w:r>
          </w:p>
          <w:p w14:paraId="5EB8D7F0" w14:textId="77777777" w:rsidR="00692BA7" w:rsidRPr="00D1407F" w:rsidRDefault="00692BA7" w:rsidP="00692BA7">
            <w:pPr>
              <w:jc w:val="both"/>
              <w:rPr>
                <w:sz w:val="20"/>
              </w:rPr>
            </w:pPr>
          </w:p>
          <w:p w14:paraId="7440EC53" w14:textId="77777777" w:rsidR="00692BA7" w:rsidRPr="00D1407F" w:rsidRDefault="00692BA7" w:rsidP="00692BA7">
            <w:pPr>
              <w:jc w:val="both"/>
              <w:rPr>
                <w:sz w:val="20"/>
              </w:rPr>
            </w:pPr>
            <w:r w:rsidRPr="00D1407F">
              <w:rPr>
                <w:sz w:val="20"/>
              </w:rPr>
              <w:t xml:space="preserve">В случае, если Региональной группой, IAF и/или ILAC или ОА - заявителем было установлено, что необходимо провести предварительную оценку до проведения полной оценки, то должна быть подготовлена программа проведения предварительной оценки. Основываясь на результатах анализа документации, </w:t>
            </w:r>
            <w:proofErr w:type="gramStart"/>
            <w:r w:rsidRPr="00D1407F">
              <w:rPr>
                <w:sz w:val="20"/>
              </w:rPr>
              <w:t>группа по предварительной оценке</w:t>
            </w:r>
            <w:proofErr w:type="gramEnd"/>
            <w:r w:rsidRPr="00D1407F">
              <w:rPr>
                <w:sz w:val="20"/>
              </w:rPr>
              <w:t xml:space="preserve"> может решить провести рассмотрение следующих вопросов в контексте предварительной оценки:</w:t>
            </w:r>
          </w:p>
          <w:p w14:paraId="79B719B2" w14:textId="77777777" w:rsidR="00692BA7" w:rsidRPr="00D1407F" w:rsidRDefault="00692BA7" w:rsidP="00692BA7">
            <w:pPr>
              <w:jc w:val="both"/>
              <w:rPr>
                <w:sz w:val="20"/>
              </w:rPr>
            </w:pPr>
            <w:r w:rsidRPr="00D1407F">
              <w:rPr>
                <w:sz w:val="20"/>
              </w:rPr>
              <w:t xml:space="preserve">- Принципы и процедуры системы менеджмента (как часть анализа документации, предшествующего предварительной оценке); </w:t>
            </w:r>
          </w:p>
          <w:p w14:paraId="0061B116" w14:textId="77777777" w:rsidR="00692BA7" w:rsidRPr="00D1407F" w:rsidRDefault="00692BA7" w:rsidP="00692BA7">
            <w:pPr>
              <w:jc w:val="both"/>
              <w:rPr>
                <w:sz w:val="20"/>
              </w:rPr>
            </w:pPr>
            <w:r w:rsidRPr="00D1407F">
              <w:rPr>
                <w:sz w:val="20"/>
              </w:rPr>
              <w:t xml:space="preserve">-Юридическая идентификация ОА; </w:t>
            </w:r>
          </w:p>
          <w:p w14:paraId="3ED3505D" w14:textId="77777777" w:rsidR="00692BA7" w:rsidRPr="00D1407F" w:rsidRDefault="00692BA7" w:rsidP="00692BA7">
            <w:pPr>
              <w:jc w:val="both"/>
              <w:rPr>
                <w:sz w:val="20"/>
              </w:rPr>
            </w:pPr>
            <w:r w:rsidRPr="00D1407F">
              <w:rPr>
                <w:sz w:val="20"/>
              </w:rPr>
              <w:t xml:space="preserve">- Отношения с регулирующими органами и другими заказчиками (например, признание; возможная конкуренция); </w:t>
            </w:r>
          </w:p>
          <w:p w14:paraId="4BBEE28B" w14:textId="77777777" w:rsidR="00692BA7" w:rsidRPr="00D1407F" w:rsidRDefault="00692BA7" w:rsidP="00692BA7">
            <w:pPr>
              <w:jc w:val="both"/>
              <w:rPr>
                <w:sz w:val="20"/>
              </w:rPr>
            </w:pPr>
            <w:r w:rsidRPr="00D1407F">
              <w:rPr>
                <w:sz w:val="20"/>
              </w:rPr>
              <w:t xml:space="preserve">- Описания работы и опыт работы высшего руководства, организационная структура; </w:t>
            </w:r>
          </w:p>
          <w:p w14:paraId="7505BFCA" w14:textId="77777777" w:rsidR="00692BA7" w:rsidRPr="00D1407F" w:rsidRDefault="00692BA7" w:rsidP="00692BA7">
            <w:pPr>
              <w:jc w:val="both"/>
              <w:rPr>
                <w:sz w:val="20"/>
              </w:rPr>
            </w:pPr>
            <w:r w:rsidRPr="00D1407F">
              <w:rPr>
                <w:sz w:val="20"/>
              </w:rPr>
              <w:t xml:space="preserve">- Беспристрастность и конфликт интересов; связанные органы; </w:t>
            </w:r>
          </w:p>
          <w:p w14:paraId="789BABA7" w14:textId="77777777" w:rsidR="00692BA7" w:rsidRPr="00D1407F" w:rsidRDefault="00692BA7" w:rsidP="00692BA7">
            <w:pPr>
              <w:jc w:val="both"/>
              <w:rPr>
                <w:sz w:val="20"/>
              </w:rPr>
            </w:pPr>
            <w:r w:rsidRPr="00D1407F">
              <w:rPr>
                <w:sz w:val="20"/>
              </w:rPr>
              <w:t xml:space="preserve">-Доступ к техническим экспертизам; </w:t>
            </w:r>
          </w:p>
          <w:p w14:paraId="07152EDE" w14:textId="77777777" w:rsidR="00692BA7" w:rsidRPr="00D1407F" w:rsidRDefault="00692BA7" w:rsidP="00692BA7">
            <w:pPr>
              <w:jc w:val="both"/>
              <w:rPr>
                <w:sz w:val="20"/>
              </w:rPr>
            </w:pPr>
            <w:r w:rsidRPr="00D1407F">
              <w:rPr>
                <w:sz w:val="20"/>
              </w:rPr>
              <w:t xml:space="preserve">- Заявочные документы; </w:t>
            </w:r>
          </w:p>
          <w:p w14:paraId="52B39E3D" w14:textId="77777777" w:rsidR="00692BA7" w:rsidRPr="00D1407F" w:rsidRDefault="00692BA7" w:rsidP="00692BA7">
            <w:pPr>
              <w:jc w:val="both"/>
              <w:rPr>
                <w:sz w:val="20"/>
              </w:rPr>
            </w:pPr>
            <w:r w:rsidRPr="00D1407F">
              <w:rPr>
                <w:sz w:val="20"/>
              </w:rPr>
              <w:t xml:space="preserve">-Записи и документация оценщика; </w:t>
            </w:r>
          </w:p>
          <w:p w14:paraId="4FCA6EB7" w14:textId="77777777" w:rsidR="00692BA7" w:rsidRPr="00D1407F" w:rsidRDefault="00692BA7" w:rsidP="00692BA7">
            <w:pPr>
              <w:jc w:val="both"/>
              <w:rPr>
                <w:sz w:val="20"/>
              </w:rPr>
            </w:pPr>
            <w:r w:rsidRPr="00D1407F">
              <w:rPr>
                <w:sz w:val="20"/>
              </w:rPr>
              <w:t xml:space="preserve">- Образцы записей ООС, включая процесс принятия решений; </w:t>
            </w:r>
          </w:p>
          <w:p w14:paraId="2406332E" w14:textId="77777777" w:rsidR="00692BA7" w:rsidRPr="00D1407F" w:rsidRDefault="00692BA7" w:rsidP="00692BA7">
            <w:pPr>
              <w:jc w:val="both"/>
              <w:rPr>
                <w:sz w:val="20"/>
              </w:rPr>
            </w:pPr>
            <w:r w:rsidRPr="00D1407F">
              <w:rPr>
                <w:sz w:val="20"/>
              </w:rPr>
              <w:t>- Уровни участия в проверке квалификации (для аккредитации испытаний и калибровки, а также органов по инспекции, где это применимо</w:t>
            </w:r>
            <w:proofErr w:type="gramStart"/>
            <w:r w:rsidRPr="00D1407F">
              <w:rPr>
                <w:sz w:val="20"/>
              </w:rPr>
              <w:t>);  -</w:t>
            </w:r>
            <w:proofErr w:type="gramEnd"/>
            <w:r w:rsidRPr="00D1407F">
              <w:rPr>
                <w:sz w:val="20"/>
              </w:rPr>
              <w:t xml:space="preserve"> Прослеживаемость измерений (для аккредитации калибровки и испытаний, а также органов по инспекции, где это применимо). В некоторых случаях может быть необходимо посетить ГМИ (Государственный Метрологический Институт); </w:t>
            </w:r>
          </w:p>
          <w:p w14:paraId="1CE6373E" w14:textId="77777777" w:rsidR="00692BA7" w:rsidRPr="00D1407F" w:rsidRDefault="00692BA7" w:rsidP="00692BA7">
            <w:pPr>
              <w:jc w:val="both"/>
              <w:rPr>
                <w:sz w:val="20"/>
              </w:rPr>
            </w:pPr>
            <w:r w:rsidRPr="00D1407F">
              <w:rPr>
                <w:color w:val="000000" w:themeColor="text1"/>
                <w:sz w:val="20"/>
              </w:rPr>
              <w:t>- Свидетельская оценка в одной или более оценок, по возможности.</w:t>
            </w:r>
          </w:p>
        </w:tc>
        <w:tc>
          <w:tcPr>
            <w:tcW w:w="2551" w:type="dxa"/>
          </w:tcPr>
          <w:p w14:paraId="0DB5F3B6" w14:textId="3CFBC911" w:rsidR="00692BA7" w:rsidRPr="00CC6903" w:rsidRDefault="00EC68A0" w:rsidP="00692BA7">
            <w:pPr>
              <w:jc w:val="center"/>
              <w:rPr>
                <w:b/>
                <w:sz w:val="20"/>
              </w:rPr>
            </w:pPr>
            <w:r w:rsidRPr="00CC6903">
              <w:rPr>
                <w:bCs/>
                <w:i/>
                <w:iCs/>
                <w:sz w:val="20"/>
              </w:rPr>
              <w:t>Предлагаем обсудить в рамках очередного заседания.</w:t>
            </w:r>
          </w:p>
        </w:tc>
        <w:tc>
          <w:tcPr>
            <w:tcW w:w="2126" w:type="dxa"/>
          </w:tcPr>
          <w:p w14:paraId="46E1FC98" w14:textId="5F16EE04" w:rsidR="00692BA7" w:rsidRPr="00942379" w:rsidRDefault="00692BA7" w:rsidP="00692BA7">
            <w:pPr>
              <w:jc w:val="center"/>
              <w:rPr>
                <w:b/>
                <w:sz w:val="22"/>
                <w:szCs w:val="22"/>
              </w:rPr>
            </w:pPr>
          </w:p>
        </w:tc>
      </w:tr>
      <w:tr w:rsidR="00692BA7" w:rsidRPr="00D1407F" w14:paraId="2050FC01" w14:textId="77777777" w:rsidTr="00692BA7">
        <w:trPr>
          <w:trHeight w:val="461"/>
        </w:trPr>
        <w:tc>
          <w:tcPr>
            <w:tcW w:w="3114" w:type="dxa"/>
            <w:gridSpan w:val="2"/>
          </w:tcPr>
          <w:p w14:paraId="4649E8A0" w14:textId="77777777" w:rsidR="00692BA7" w:rsidRPr="00D1407F" w:rsidRDefault="00692BA7" w:rsidP="00692BA7">
            <w:pPr>
              <w:jc w:val="both"/>
              <w:rPr>
                <w:sz w:val="20"/>
              </w:rPr>
            </w:pPr>
            <w:r w:rsidRPr="00D1407F">
              <w:rPr>
                <w:sz w:val="20"/>
              </w:rPr>
              <w:t>6.6 Отчет о предварительной оценке (частью которого является лист обнаружений) должен быть предоставлен органу по аккредитации в течение 30 дней с даты заключительного совещания. Форма отчета установлена в IAF/ILAC A3 (ПРОВЕРИТЬ. В</w:t>
            </w:r>
          </w:p>
          <w:p w14:paraId="1C6E2256" w14:textId="77777777" w:rsidR="00692BA7" w:rsidRPr="00D1407F" w:rsidRDefault="00692BA7" w:rsidP="00692BA7">
            <w:pPr>
              <w:jc w:val="both"/>
              <w:rPr>
                <w:sz w:val="20"/>
              </w:rPr>
            </w:pPr>
            <w:r w:rsidRPr="00D1407F">
              <w:rPr>
                <w:sz w:val="20"/>
              </w:rPr>
              <w:t>АРАС это пункт 17.6). Отчет должен отражать как минимум следующее:</w:t>
            </w:r>
          </w:p>
          <w:p w14:paraId="4827F969" w14:textId="77777777" w:rsidR="00692BA7" w:rsidRPr="00D1407F" w:rsidRDefault="00692BA7" w:rsidP="00692BA7">
            <w:pPr>
              <w:jc w:val="both"/>
              <w:rPr>
                <w:sz w:val="20"/>
              </w:rPr>
            </w:pPr>
            <w:r w:rsidRPr="00D1407F">
              <w:rPr>
                <w:sz w:val="20"/>
              </w:rPr>
              <w:t>….</w:t>
            </w:r>
          </w:p>
        </w:tc>
        <w:tc>
          <w:tcPr>
            <w:tcW w:w="3260" w:type="dxa"/>
            <w:gridSpan w:val="3"/>
          </w:tcPr>
          <w:p w14:paraId="40980584" w14:textId="77777777" w:rsidR="00692BA7" w:rsidRPr="00D1407F" w:rsidRDefault="00692BA7" w:rsidP="00692BA7">
            <w:pPr>
              <w:jc w:val="both"/>
              <w:rPr>
                <w:sz w:val="20"/>
              </w:rPr>
            </w:pPr>
            <w:r w:rsidRPr="00D1407F">
              <w:rPr>
                <w:sz w:val="20"/>
              </w:rPr>
              <w:t>6.6 Отчет о предварительной оценке (частью которого является лист обнаружений) должен быть предоставлен Совету ЕААС в течение 30 дней с даты заключительного совещания. Форма отчета установлена в IAF/ILAC A3.</w:t>
            </w:r>
          </w:p>
          <w:p w14:paraId="231860A9" w14:textId="77777777" w:rsidR="00692BA7" w:rsidRPr="00D1407F" w:rsidRDefault="00692BA7" w:rsidP="00692BA7">
            <w:pPr>
              <w:jc w:val="both"/>
              <w:rPr>
                <w:sz w:val="20"/>
              </w:rPr>
            </w:pPr>
            <w:r w:rsidRPr="00D1407F">
              <w:rPr>
                <w:sz w:val="20"/>
              </w:rPr>
              <w:t>6). Отчет должен отражать как минимум следующее:</w:t>
            </w:r>
          </w:p>
          <w:p w14:paraId="794106B6" w14:textId="77777777" w:rsidR="00692BA7" w:rsidRPr="00D1407F" w:rsidRDefault="00692BA7" w:rsidP="00692BA7">
            <w:pPr>
              <w:jc w:val="both"/>
              <w:rPr>
                <w:sz w:val="20"/>
              </w:rPr>
            </w:pPr>
            <w:r w:rsidRPr="00D1407F">
              <w:rPr>
                <w:sz w:val="20"/>
              </w:rPr>
              <w:t>….</w:t>
            </w:r>
          </w:p>
        </w:tc>
        <w:tc>
          <w:tcPr>
            <w:tcW w:w="3686" w:type="dxa"/>
            <w:gridSpan w:val="2"/>
          </w:tcPr>
          <w:p w14:paraId="4EAB73B8" w14:textId="77777777" w:rsidR="00692BA7" w:rsidRPr="00D1407F" w:rsidRDefault="00692BA7" w:rsidP="00692BA7">
            <w:pPr>
              <w:jc w:val="both"/>
              <w:rPr>
                <w:sz w:val="20"/>
              </w:rPr>
            </w:pPr>
            <w:r w:rsidRPr="00D1407F">
              <w:rPr>
                <w:sz w:val="20"/>
              </w:rPr>
              <w:t>На обсуждение: вместо органа по аккредитации предлагается указать Совет ЕААС, так как органу по аккредитации, подвергаемому оценке по итогам предварительной оценки будет представлен лист обнаружений.</w:t>
            </w:r>
          </w:p>
        </w:tc>
        <w:tc>
          <w:tcPr>
            <w:tcW w:w="2551" w:type="dxa"/>
          </w:tcPr>
          <w:p w14:paraId="4D159690" w14:textId="3969EBB6" w:rsidR="00692BA7" w:rsidRPr="00CC6903" w:rsidRDefault="00EC68A0" w:rsidP="00692BA7">
            <w:pPr>
              <w:jc w:val="center"/>
              <w:rPr>
                <w:bCs/>
                <w:sz w:val="20"/>
              </w:rPr>
            </w:pPr>
            <w:r w:rsidRPr="00CC6903">
              <w:rPr>
                <w:bCs/>
                <w:i/>
                <w:iCs/>
                <w:sz w:val="20"/>
              </w:rPr>
              <w:t>Предлагаем обсудить в рамках очередного заседания.</w:t>
            </w:r>
          </w:p>
        </w:tc>
        <w:tc>
          <w:tcPr>
            <w:tcW w:w="2126" w:type="dxa"/>
          </w:tcPr>
          <w:p w14:paraId="22834093" w14:textId="185341F2" w:rsidR="00692BA7" w:rsidRPr="00D1407F" w:rsidRDefault="00692BA7" w:rsidP="00692BA7">
            <w:pPr>
              <w:jc w:val="center"/>
              <w:rPr>
                <w:b/>
                <w:sz w:val="20"/>
              </w:rPr>
            </w:pPr>
          </w:p>
        </w:tc>
      </w:tr>
      <w:tr w:rsidR="00692BA7" w:rsidRPr="00D1407F" w14:paraId="5D6B52B5" w14:textId="77777777" w:rsidTr="00692BA7">
        <w:trPr>
          <w:trHeight w:val="461"/>
        </w:trPr>
        <w:tc>
          <w:tcPr>
            <w:tcW w:w="3114" w:type="dxa"/>
            <w:gridSpan w:val="2"/>
          </w:tcPr>
          <w:p w14:paraId="5DE07978" w14:textId="77777777" w:rsidR="00692BA7" w:rsidRPr="00D1407F" w:rsidRDefault="00692BA7" w:rsidP="00692BA7">
            <w:pPr>
              <w:jc w:val="both"/>
              <w:rPr>
                <w:sz w:val="20"/>
              </w:rPr>
            </w:pPr>
            <w:r w:rsidRPr="00D1407F">
              <w:rPr>
                <w:sz w:val="20"/>
              </w:rPr>
              <w:t>6.7 Орган по аккредитации имеет право в течение 30 дней с даты получения отчета (или листа обнаружений?) предоставить руководителю группы:</w:t>
            </w:r>
          </w:p>
          <w:p w14:paraId="07A0D8E6" w14:textId="77777777" w:rsidR="00692BA7" w:rsidRPr="00D1407F" w:rsidRDefault="00692BA7" w:rsidP="00692BA7">
            <w:pPr>
              <w:jc w:val="both"/>
              <w:rPr>
                <w:sz w:val="20"/>
              </w:rPr>
            </w:pPr>
            <w:r w:rsidRPr="00D1407F">
              <w:rPr>
                <w:sz w:val="20"/>
              </w:rPr>
              <w:t>…</w:t>
            </w:r>
          </w:p>
        </w:tc>
        <w:tc>
          <w:tcPr>
            <w:tcW w:w="3260" w:type="dxa"/>
            <w:gridSpan w:val="3"/>
          </w:tcPr>
          <w:p w14:paraId="40AD9D09" w14:textId="77777777" w:rsidR="00692BA7" w:rsidRPr="00D1407F" w:rsidRDefault="00692BA7" w:rsidP="00692BA7">
            <w:pPr>
              <w:jc w:val="both"/>
              <w:rPr>
                <w:sz w:val="20"/>
              </w:rPr>
            </w:pPr>
            <w:r w:rsidRPr="00D1407F">
              <w:rPr>
                <w:sz w:val="20"/>
              </w:rPr>
              <w:t xml:space="preserve">6.7 Орган по аккредитации имеет право в течение 30 дней с даты получения </w:t>
            </w:r>
            <w:r w:rsidRPr="00D1407F">
              <w:rPr>
                <w:b/>
                <w:bCs/>
                <w:sz w:val="20"/>
              </w:rPr>
              <w:t>листа обнаружений</w:t>
            </w:r>
            <w:r w:rsidRPr="00D1407F">
              <w:rPr>
                <w:sz w:val="20"/>
              </w:rPr>
              <w:t xml:space="preserve"> предоставить руководителю группы:</w:t>
            </w:r>
          </w:p>
          <w:p w14:paraId="5F6E45EC" w14:textId="77777777" w:rsidR="00692BA7" w:rsidRPr="00D1407F" w:rsidRDefault="00692BA7" w:rsidP="00692BA7">
            <w:pPr>
              <w:jc w:val="both"/>
              <w:rPr>
                <w:color w:val="FF0000"/>
                <w:sz w:val="20"/>
              </w:rPr>
            </w:pPr>
            <w:r w:rsidRPr="00D1407F">
              <w:rPr>
                <w:sz w:val="20"/>
              </w:rPr>
              <w:t>…</w:t>
            </w:r>
          </w:p>
        </w:tc>
        <w:tc>
          <w:tcPr>
            <w:tcW w:w="3686" w:type="dxa"/>
            <w:gridSpan w:val="2"/>
          </w:tcPr>
          <w:p w14:paraId="247D5EE7" w14:textId="77777777" w:rsidR="00692BA7" w:rsidRPr="00D1407F" w:rsidRDefault="00692BA7" w:rsidP="00692BA7">
            <w:pPr>
              <w:jc w:val="both"/>
              <w:rPr>
                <w:sz w:val="20"/>
              </w:rPr>
            </w:pPr>
            <w:r w:rsidRPr="00D1407F">
              <w:rPr>
                <w:sz w:val="20"/>
              </w:rPr>
              <w:t>Целесообразно обсудить со всеми участниками процедуру подготовки отчета и листа обнаружений, передачи их органу по аккредитации и/или Совету ЕААС с учетом документов международных организаций.</w:t>
            </w:r>
          </w:p>
        </w:tc>
        <w:tc>
          <w:tcPr>
            <w:tcW w:w="2551" w:type="dxa"/>
          </w:tcPr>
          <w:p w14:paraId="72E9E237" w14:textId="5019F0E3" w:rsidR="00692BA7" w:rsidRPr="00EC68A0" w:rsidRDefault="00EC68A0" w:rsidP="00692BA7">
            <w:pPr>
              <w:jc w:val="center"/>
              <w:rPr>
                <w:bCs/>
                <w:sz w:val="20"/>
              </w:rPr>
            </w:pPr>
            <w:r w:rsidRPr="00EC68A0">
              <w:rPr>
                <w:bCs/>
                <w:i/>
                <w:iCs/>
                <w:sz w:val="20"/>
              </w:rPr>
              <w:t>Предлагаем обсудить в рамках очередного заседания.</w:t>
            </w:r>
          </w:p>
        </w:tc>
        <w:tc>
          <w:tcPr>
            <w:tcW w:w="2126" w:type="dxa"/>
          </w:tcPr>
          <w:p w14:paraId="78AE9A88" w14:textId="503DEE40" w:rsidR="00692BA7" w:rsidRPr="00D1407F" w:rsidRDefault="00692BA7" w:rsidP="00692BA7">
            <w:pPr>
              <w:jc w:val="center"/>
              <w:rPr>
                <w:b/>
                <w:sz w:val="20"/>
              </w:rPr>
            </w:pPr>
          </w:p>
        </w:tc>
      </w:tr>
      <w:tr w:rsidR="00692BA7" w:rsidRPr="00D1407F" w14:paraId="198974B4" w14:textId="77777777" w:rsidTr="00692BA7">
        <w:trPr>
          <w:trHeight w:val="461"/>
        </w:trPr>
        <w:tc>
          <w:tcPr>
            <w:tcW w:w="3114" w:type="dxa"/>
            <w:gridSpan w:val="2"/>
          </w:tcPr>
          <w:p w14:paraId="7950DAF8" w14:textId="77777777" w:rsidR="00692BA7" w:rsidRPr="00D1407F" w:rsidRDefault="00692BA7" w:rsidP="00692BA7">
            <w:pPr>
              <w:jc w:val="both"/>
              <w:rPr>
                <w:sz w:val="20"/>
              </w:rPr>
            </w:pPr>
            <w:r w:rsidRPr="00D1407F">
              <w:rPr>
                <w:sz w:val="20"/>
              </w:rPr>
              <w:t xml:space="preserve">6.8 </w:t>
            </w:r>
            <w:proofErr w:type="gramStart"/>
            <w:r w:rsidRPr="00D1407F">
              <w:rPr>
                <w:sz w:val="20"/>
              </w:rPr>
              <w:t>Группа по предварительной оценке</w:t>
            </w:r>
            <w:proofErr w:type="gramEnd"/>
            <w:r w:rsidRPr="00D1407F">
              <w:rPr>
                <w:sz w:val="20"/>
              </w:rPr>
              <w:t xml:space="preserve"> в течение 14 дней должна предоставить ответ органу по аккредитации о приемлемости запланированных корректирующих действий. Иных действий от группы по оценке не требуется.</w:t>
            </w:r>
          </w:p>
        </w:tc>
        <w:tc>
          <w:tcPr>
            <w:tcW w:w="3260" w:type="dxa"/>
            <w:gridSpan w:val="3"/>
          </w:tcPr>
          <w:p w14:paraId="2DED478B" w14:textId="77777777" w:rsidR="00692BA7" w:rsidRPr="00D1407F" w:rsidRDefault="00692BA7" w:rsidP="00692BA7">
            <w:pPr>
              <w:jc w:val="both"/>
              <w:rPr>
                <w:sz w:val="20"/>
              </w:rPr>
            </w:pPr>
          </w:p>
        </w:tc>
        <w:tc>
          <w:tcPr>
            <w:tcW w:w="3686" w:type="dxa"/>
            <w:gridSpan w:val="2"/>
          </w:tcPr>
          <w:p w14:paraId="02DE6542" w14:textId="77777777" w:rsidR="00692BA7" w:rsidRPr="00D1407F" w:rsidRDefault="00692BA7" w:rsidP="00692BA7">
            <w:pPr>
              <w:jc w:val="both"/>
              <w:rPr>
                <w:sz w:val="20"/>
              </w:rPr>
            </w:pPr>
            <w:r w:rsidRPr="00D1407F">
              <w:rPr>
                <w:color w:val="000000" w:themeColor="text1"/>
                <w:sz w:val="20"/>
              </w:rPr>
              <w:t>В пунктах 6.6, 6.7 и 6.8 необходимо установить сроки с учетом взаимосвязанности, так как группа готовит отчет в течении 30 дней, при этом орган по аккредитации в течении 30 рабочих может разработать план корректирующих действий и подготовить комментарии по оценке, при этом группа по оценке в течении 14 дней должна представить ответ органу по аккредитации. С учетом изложенного итоговый отчет по пункту 6.6 (по итогам изучения комментарий и плана корректирующих действий) должен быть подготовлен в течении 60 дней.</w:t>
            </w:r>
          </w:p>
        </w:tc>
        <w:tc>
          <w:tcPr>
            <w:tcW w:w="2551" w:type="dxa"/>
          </w:tcPr>
          <w:p w14:paraId="1C5F161E" w14:textId="03AFBAB7" w:rsidR="00692BA7" w:rsidRPr="00EC68A0" w:rsidRDefault="00EC68A0" w:rsidP="00692BA7">
            <w:pPr>
              <w:jc w:val="center"/>
              <w:rPr>
                <w:sz w:val="20"/>
              </w:rPr>
            </w:pPr>
            <w:r w:rsidRPr="00EC68A0">
              <w:rPr>
                <w:i/>
                <w:iCs/>
                <w:sz w:val="20"/>
              </w:rPr>
              <w:t>Предлагаем обсудить в рамках очередного заседания.</w:t>
            </w:r>
          </w:p>
        </w:tc>
        <w:tc>
          <w:tcPr>
            <w:tcW w:w="2126" w:type="dxa"/>
          </w:tcPr>
          <w:p w14:paraId="28DF4C93" w14:textId="11985770" w:rsidR="00692BA7" w:rsidRPr="00D1407F" w:rsidRDefault="00692BA7" w:rsidP="00692BA7">
            <w:pPr>
              <w:jc w:val="center"/>
              <w:rPr>
                <w:b/>
                <w:sz w:val="20"/>
              </w:rPr>
            </w:pPr>
          </w:p>
        </w:tc>
      </w:tr>
      <w:tr w:rsidR="00692BA7" w:rsidRPr="00D1407F" w14:paraId="3CCBBA3A" w14:textId="77777777" w:rsidTr="00692BA7">
        <w:trPr>
          <w:trHeight w:val="461"/>
        </w:trPr>
        <w:tc>
          <w:tcPr>
            <w:tcW w:w="3114" w:type="dxa"/>
            <w:gridSpan w:val="2"/>
          </w:tcPr>
          <w:p w14:paraId="494EEAF1" w14:textId="77777777" w:rsidR="00692BA7" w:rsidRPr="00D1407F" w:rsidRDefault="00692BA7" w:rsidP="00692BA7">
            <w:pPr>
              <w:jc w:val="both"/>
              <w:rPr>
                <w:sz w:val="20"/>
              </w:rPr>
            </w:pPr>
            <w:r w:rsidRPr="00D1407F">
              <w:rPr>
                <w:sz w:val="20"/>
              </w:rPr>
              <w:t>7.1 За 6 месяцев до даты плановой оценки Секретариат ЕААС информирует орган по аккредитации о необходимости предоставления документов, которые требуются для оценки (по форме заявки для целей присоединения к Договоренности).</w:t>
            </w:r>
          </w:p>
        </w:tc>
        <w:tc>
          <w:tcPr>
            <w:tcW w:w="3260" w:type="dxa"/>
            <w:gridSpan w:val="3"/>
          </w:tcPr>
          <w:p w14:paraId="7397F950" w14:textId="77777777" w:rsidR="00692BA7" w:rsidRPr="00D1407F" w:rsidRDefault="00692BA7" w:rsidP="00692BA7">
            <w:pPr>
              <w:jc w:val="both"/>
              <w:rPr>
                <w:sz w:val="20"/>
              </w:rPr>
            </w:pPr>
          </w:p>
        </w:tc>
        <w:tc>
          <w:tcPr>
            <w:tcW w:w="3686" w:type="dxa"/>
            <w:gridSpan w:val="2"/>
          </w:tcPr>
          <w:p w14:paraId="28446322" w14:textId="77777777" w:rsidR="00692BA7" w:rsidRPr="00D1407F" w:rsidRDefault="00692BA7" w:rsidP="00692BA7">
            <w:pPr>
              <w:jc w:val="both"/>
              <w:rPr>
                <w:color w:val="000000" w:themeColor="text1"/>
                <w:sz w:val="20"/>
              </w:rPr>
            </w:pPr>
            <w:r w:rsidRPr="00D1407F">
              <w:rPr>
                <w:color w:val="000000" w:themeColor="text1"/>
                <w:sz w:val="20"/>
              </w:rPr>
              <w:t>В п. 5.1 прописан срок в 3 месяца, необходимо пересмотреть все сроки в данном Порядке:</w:t>
            </w:r>
          </w:p>
          <w:p w14:paraId="629BC692" w14:textId="77777777" w:rsidR="00692BA7" w:rsidRPr="00D1407F" w:rsidRDefault="00692BA7" w:rsidP="00692BA7">
            <w:pPr>
              <w:jc w:val="both"/>
              <w:rPr>
                <w:color w:val="000000" w:themeColor="text1"/>
                <w:sz w:val="20"/>
              </w:rPr>
            </w:pPr>
            <w:r w:rsidRPr="00D1407F">
              <w:rPr>
                <w:color w:val="000000" w:themeColor="text1"/>
                <w:sz w:val="20"/>
              </w:rPr>
              <w:t xml:space="preserve">5.1 Для целей проведения паритетной оценки орган по аккредитации направляет руководителю группы за </w:t>
            </w:r>
            <w:r w:rsidRPr="00D1407F">
              <w:rPr>
                <w:b/>
                <w:bCs/>
                <w:color w:val="000000" w:themeColor="text1"/>
                <w:sz w:val="20"/>
              </w:rPr>
              <w:t>3 месяца до даты оценки</w:t>
            </w:r>
            <w:r w:rsidRPr="00D1407F">
              <w:rPr>
                <w:color w:val="000000" w:themeColor="text1"/>
                <w:sz w:val="20"/>
              </w:rPr>
              <w:t>:</w:t>
            </w:r>
          </w:p>
          <w:p w14:paraId="0D1DCA39" w14:textId="77777777" w:rsidR="00692BA7" w:rsidRPr="00D1407F" w:rsidRDefault="00692BA7" w:rsidP="00692BA7">
            <w:pPr>
              <w:jc w:val="both"/>
              <w:rPr>
                <w:color w:val="000000" w:themeColor="text1"/>
                <w:sz w:val="20"/>
              </w:rPr>
            </w:pPr>
            <w:r w:rsidRPr="00D1407F">
              <w:rPr>
                <w:color w:val="000000" w:themeColor="text1"/>
                <w:sz w:val="20"/>
              </w:rPr>
              <w:t>− отчет-самооценку по форме, установленной в IAF/ILAC A3 (включая вспомогательную документацию и ссылочные документы),</w:t>
            </w:r>
          </w:p>
          <w:p w14:paraId="4AE3B7DC" w14:textId="77777777" w:rsidR="00692BA7" w:rsidRPr="00D1407F" w:rsidRDefault="00692BA7" w:rsidP="00692BA7">
            <w:pPr>
              <w:jc w:val="both"/>
              <w:rPr>
                <w:color w:val="000000" w:themeColor="text1"/>
                <w:sz w:val="20"/>
              </w:rPr>
            </w:pPr>
            <w:r w:rsidRPr="00D1407F">
              <w:rPr>
                <w:color w:val="000000" w:themeColor="text1"/>
                <w:sz w:val="20"/>
              </w:rPr>
              <w:t>− заполненный чек-лист «Оценка документации органа по аккредитации» по форме _____.</w:t>
            </w:r>
          </w:p>
        </w:tc>
        <w:tc>
          <w:tcPr>
            <w:tcW w:w="2551" w:type="dxa"/>
          </w:tcPr>
          <w:p w14:paraId="6313F461" w14:textId="007C276A" w:rsidR="00692BA7" w:rsidRPr="00EC68A0" w:rsidRDefault="00EC68A0" w:rsidP="00692BA7">
            <w:pPr>
              <w:jc w:val="center"/>
              <w:rPr>
                <w:b/>
                <w:sz w:val="20"/>
              </w:rPr>
            </w:pPr>
            <w:r w:rsidRPr="00EC68A0">
              <w:rPr>
                <w:bCs/>
                <w:i/>
                <w:iCs/>
                <w:sz w:val="20"/>
              </w:rPr>
              <w:t>Предлагаем обсудить в рамках очередного заседания.</w:t>
            </w:r>
          </w:p>
        </w:tc>
        <w:tc>
          <w:tcPr>
            <w:tcW w:w="2126" w:type="dxa"/>
          </w:tcPr>
          <w:p w14:paraId="1D1153E2" w14:textId="06E039BE" w:rsidR="00692BA7" w:rsidRPr="00D1407F" w:rsidRDefault="00692BA7" w:rsidP="00692BA7">
            <w:pPr>
              <w:jc w:val="center"/>
              <w:rPr>
                <w:b/>
                <w:sz w:val="20"/>
              </w:rPr>
            </w:pPr>
          </w:p>
        </w:tc>
      </w:tr>
      <w:tr w:rsidR="00692BA7" w:rsidRPr="00D1407F" w14:paraId="2C95B13A" w14:textId="77777777" w:rsidTr="00692BA7">
        <w:trPr>
          <w:trHeight w:val="461"/>
        </w:trPr>
        <w:tc>
          <w:tcPr>
            <w:tcW w:w="3114" w:type="dxa"/>
            <w:gridSpan w:val="2"/>
          </w:tcPr>
          <w:p w14:paraId="6EB41497" w14:textId="77777777" w:rsidR="00692BA7" w:rsidRPr="00D1407F" w:rsidRDefault="00692BA7" w:rsidP="00692BA7">
            <w:pPr>
              <w:jc w:val="both"/>
              <w:rPr>
                <w:sz w:val="20"/>
              </w:rPr>
            </w:pPr>
            <w:r w:rsidRPr="00D1407F">
              <w:rPr>
                <w:sz w:val="20"/>
              </w:rPr>
              <w:t>8.11 Итоговый отчет о паритетной оценке представляется органу по аккредитации руководителем группы по оценке в течение 2 месяцев от даты завершения оценки. Форма отчета, перечень обнаружений и их классификация должны соответствовать IAF/ILAC A3.</w:t>
            </w:r>
          </w:p>
        </w:tc>
        <w:tc>
          <w:tcPr>
            <w:tcW w:w="3260" w:type="dxa"/>
            <w:gridSpan w:val="3"/>
          </w:tcPr>
          <w:p w14:paraId="0D86D6AD" w14:textId="77777777" w:rsidR="00692BA7" w:rsidRPr="00D1407F" w:rsidRDefault="00692BA7" w:rsidP="00692BA7">
            <w:pPr>
              <w:jc w:val="both"/>
              <w:rPr>
                <w:sz w:val="20"/>
              </w:rPr>
            </w:pPr>
          </w:p>
        </w:tc>
        <w:tc>
          <w:tcPr>
            <w:tcW w:w="3686" w:type="dxa"/>
            <w:gridSpan w:val="2"/>
          </w:tcPr>
          <w:p w14:paraId="08E65B08" w14:textId="77777777" w:rsidR="00692BA7" w:rsidRPr="00D1407F" w:rsidRDefault="00692BA7" w:rsidP="00692BA7">
            <w:pPr>
              <w:jc w:val="both"/>
              <w:rPr>
                <w:color w:val="000000" w:themeColor="text1"/>
                <w:sz w:val="20"/>
              </w:rPr>
            </w:pPr>
            <w:r w:rsidRPr="00D1407F">
              <w:rPr>
                <w:color w:val="000000" w:themeColor="text1"/>
                <w:sz w:val="20"/>
              </w:rPr>
              <w:t>Предлагается установить сроки предоставления итогового отчета с учетом сроков по принятия корректирующих действий, изложенных в разделе 9.</w:t>
            </w:r>
          </w:p>
          <w:p w14:paraId="083EED85" w14:textId="77777777" w:rsidR="00692BA7" w:rsidRPr="00D1407F" w:rsidRDefault="00692BA7" w:rsidP="00692BA7">
            <w:pPr>
              <w:jc w:val="both"/>
              <w:rPr>
                <w:color w:val="FF0000"/>
                <w:sz w:val="20"/>
              </w:rPr>
            </w:pPr>
          </w:p>
          <w:p w14:paraId="712AAFDA" w14:textId="77777777" w:rsidR="00692BA7" w:rsidRPr="00D1407F" w:rsidRDefault="00692BA7" w:rsidP="00692BA7">
            <w:pPr>
              <w:rPr>
                <w:color w:val="FF0000"/>
                <w:sz w:val="20"/>
              </w:rPr>
            </w:pPr>
            <w:r w:rsidRPr="00D1407F">
              <w:rPr>
                <w:b/>
                <w:bCs/>
                <w:color w:val="000000" w:themeColor="text1"/>
                <w:sz w:val="20"/>
              </w:rPr>
              <w:t xml:space="preserve">Вместе с тем, при установлении всех сроков в Порядке осуществления паритетных оценок органов по аккредитации необходимо руководствоваться APAC MRA-006 A Guide </w:t>
            </w:r>
            <w:proofErr w:type="spellStart"/>
            <w:r w:rsidRPr="00D1407F">
              <w:rPr>
                <w:b/>
                <w:bCs/>
                <w:color w:val="000000" w:themeColor="text1"/>
                <w:sz w:val="20"/>
              </w:rPr>
              <w:t>for</w:t>
            </w:r>
            <w:proofErr w:type="spellEnd"/>
            <w:r w:rsidRPr="00D1407F">
              <w:rPr>
                <w:b/>
                <w:bCs/>
                <w:color w:val="000000" w:themeColor="text1"/>
                <w:sz w:val="20"/>
              </w:rPr>
              <w:t xml:space="preserve"> </w:t>
            </w:r>
            <w:proofErr w:type="spellStart"/>
            <w:r w:rsidRPr="00D1407F">
              <w:rPr>
                <w:b/>
                <w:bCs/>
                <w:color w:val="000000" w:themeColor="text1"/>
                <w:sz w:val="20"/>
              </w:rPr>
              <w:t>the</w:t>
            </w:r>
            <w:proofErr w:type="spellEnd"/>
            <w:r w:rsidRPr="00D1407F">
              <w:rPr>
                <w:b/>
                <w:bCs/>
                <w:color w:val="000000" w:themeColor="text1"/>
                <w:sz w:val="20"/>
              </w:rPr>
              <w:t xml:space="preserve"> Planning </w:t>
            </w:r>
            <w:proofErr w:type="spellStart"/>
            <w:r w:rsidRPr="00D1407F">
              <w:rPr>
                <w:b/>
                <w:bCs/>
                <w:color w:val="000000" w:themeColor="text1"/>
                <w:sz w:val="20"/>
              </w:rPr>
              <w:t>and</w:t>
            </w:r>
            <w:proofErr w:type="spellEnd"/>
            <w:r w:rsidRPr="00D1407F">
              <w:rPr>
                <w:b/>
                <w:bCs/>
                <w:color w:val="000000" w:themeColor="text1"/>
                <w:sz w:val="20"/>
              </w:rPr>
              <w:t xml:space="preserve"> </w:t>
            </w:r>
            <w:proofErr w:type="spellStart"/>
            <w:r w:rsidRPr="00D1407F">
              <w:rPr>
                <w:b/>
                <w:bCs/>
                <w:color w:val="000000" w:themeColor="text1"/>
                <w:sz w:val="20"/>
              </w:rPr>
              <w:t>Conduct</w:t>
            </w:r>
            <w:proofErr w:type="spellEnd"/>
            <w:r w:rsidRPr="00D1407F">
              <w:rPr>
                <w:b/>
                <w:bCs/>
                <w:color w:val="000000" w:themeColor="text1"/>
                <w:sz w:val="20"/>
              </w:rPr>
              <w:t xml:space="preserve"> </w:t>
            </w:r>
            <w:proofErr w:type="spellStart"/>
            <w:r w:rsidRPr="00D1407F">
              <w:rPr>
                <w:b/>
                <w:bCs/>
                <w:color w:val="000000" w:themeColor="text1"/>
                <w:sz w:val="20"/>
              </w:rPr>
              <w:t>of</w:t>
            </w:r>
            <w:proofErr w:type="spellEnd"/>
            <w:r w:rsidRPr="00D1407F">
              <w:rPr>
                <w:b/>
                <w:bCs/>
                <w:color w:val="000000" w:themeColor="text1"/>
                <w:sz w:val="20"/>
              </w:rPr>
              <w:t xml:space="preserve"> </w:t>
            </w:r>
            <w:proofErr w:type="spellStart"/>
            <w:r w:rsidRPr="00D1407F">
              <w:rPr>
                <w:b/>
                <w:bCs/>
                <w:color w:val="000000" w:themeColor="text1"/>
                <w:sz w:val="20"/>
              </w:rPr>
              <w:t>Evaluations</w:t>
            </w:r>
            <w:proofErr w:type="spellEnd"/>
            <w:r w:rsidRPr="00D1407F">
              <w:rPr>
                <w:b/>
                <w:bCs/>
                <w:color w:val="000000" w:themeColor="text1"/>
                <w:sz w:val="20"/>
              </w:rPr>
              <w:t>.</w:t>
            </w:r>
          </w:p>
        </w:tc>
        <w:tc>
          <w:tcPr>
            <w:tcW w:w="2551" w:type="dxa"/>
          </w:tcPr>
          <w:p w14:paraId="19BC56D3" w14:textId="16FEBC47" w:rsidR="00692BA7" w:rsidRPr="0046571D" w:rsidRDefault="00EC68A0" w:rsidP="00692BA7">
            <w:pPr>
              <w:jc w:val="center"/>
              <w:rPr>
                <w:b/>
                <w:sz w:val="20"/>
              </w:rPr>
            </w:pPr>
            <w:r w:rsidRPr="0046571D">
              <w:rPr>
                <w:bCs/>
                <w:i/>
                <w:iCs/>
                <w:sz w:val="20"/>
              </w:rPr>
              <w:t>Предлагаем обсудить в рамках очередного заседания.</w:t>
            </w:r>
          </w:p>
        </w:tc>
        <w:tc>
          <w:tcPr>
            <w:tcW w:w="2126" w:type="dxa"/>
          </w:tcPr>
          <w:p w14:paraId="0DA9224E" w14:textId="0F931C96" w:rsidR="00692BA7" w:rsidRPr="00D1407F" w:rsidRDefault="00692BA7" w:rsidP="00692BA7">
            <w:pPr>
              <w:jc w:val="center"/>
              <w:rPr>
                <w:b/>
                <w:sz w:val="20"/>
              </w:rPr>
            </w:pPr>
          </w:p>
        </w:tc>
      </w:tr>
      <w:tr w:rsidR="00ED73BC" w:rsidRPr="00D1407F" w14:paraId="6BA58648" w14:textId="77777777" w:rsidTr="00DC3AD8">
        <w:trPr>
          <w:trHeight w:val="461"/>
        </w:trPr>
        <w:tc>
          <w:tcPr>
            <w:tcW w:w="14737" w:type="dxa"/>
            <w:gridSpan w:val="9"/>
          </w:tcPr>
          <w:p w14:paraId="05BCBBF7" w14:textId="695B9632" w:rsidR="00ED73BC" w:rsidRDefault="00ED73BC" w:rsidP="00692BA7">
            <w:pPr>
              <w:jc w:val="center"/>
              <w:rPr>
                <w:b/>
                <w:sz w:val="22"/>
                <w:szCs w:val="22"/>
              </w:rPr>
            </w:pPr>
            <w:r w:rsidRPr="00DA0043">
              <w:rPr>
                <w:b/>
                <w:sz w:val="22"/>
                <w:szCs w:val="22"/>
              </w:rPr>
              <w:t>Кыргызская Республика</w:t>
            </w:r>
          </w:p>
          <w:p w14:paraId="3483A78E" w14:textId="77777777" w:rsidR="00ED73BC" w:rsidRDefault="00ED73BC" w:rsidP="00692BA7">
            <w:pPr>
              <w:jc w:val="center"/>
              <w:rPr>
                <w:b/>
                <w:sz w:val="22"/>
                <w:szCs w:val="22"/>
              </w:rPr>
            </w:pPr>
            <w:r>
              <w:rPr>
                <w:b/>
                <w:sz w:val="22"/>
                <w:szCs w:val="22"/>
              </w:rPr>
              <w:t xml:space="preserve">(письмо </w:t>
            </w:r>
            <w:proofErr w:type="spellStart"/>
            <w:proofErr w:type="gramStart"/>
            <w:r>
              <w:rPr>
                <w:b/>
                <w:sz w:val="22"/>
                <w:szCs w:val="22"/>
              </w:rPr>
              <w:t>зам.директора</w:t>
            </w:r>
            <w:proofErr w:type="spellEnd"/>
            <w:proofErr w:type="gramEnd"/>
            <w:r>
              <w:rPr>
                <w:b/>
                <w:sz w:val="22"/>
                <w:szCs w:val="22"/>
              </w:rPr>
              <w:t xml:space="preserve"> КЦА Т.Ю. </w:t>
            </w:r>
            <w:proofErr w:type="spellStart"/>
            <w:r>
              <w:rPr>
                <w:b/>
                <w:sz w:val="22"/>
                <w:szCs w:val="22"/>
              </w:rPr>
              <w:t>Таранчиева</w:t>
            </w:r>
            <w:proofErr w:type="spellEnd"/>
          </w:p>
          <w:p w14:paraId="0E659F86" w14:textId="322E4EF3" w:rsidR="00ED73BC" w:rsidRPr="00DA0043" w:rsidRDefault="00ED73BC" w:rsidP="00EC68A0">
            <w:pPr>
              <w:jc w:val="center"/>
              <w:rPr>
                <w:b/>
                <w:sz w:val="22"/>
                <w:szCs w:val="22"/>
              </w:rPr>
            </w:pPr>
            <w:r>
              <w:rPr>
                <w:b/>
                <w:sz w:val="22"/>
                <w:szCs w:val="22"/>
              </w:rPr>
              <w:t>№ 01-3/834 от 06.10.2021)</w:t>
            </w:r>
          </w:p>
        </w:tc>
      </w:tr>
      <w:tr w:rsidR="0046571D" w:rsidRPr="00D1407F" w14:paraId="2CFCBD4B" w14:textId="77777777" w:rsidTr="00EB254F">
        <w:trPr>
          <w:trHeight w:val="461"/>
        </w:trPr>
        <w:tc>
          <w:tcPr>
            <w:tcW w:w="5030" w:type="dxa"/>
            <w:gridSpan w:val="4"/>
            <w:vAlign w:val="center"/>
          </w:tcPr>
          <w:p w14:paraId="6139F638" w14:textId="7B6EEB60" w:rsidR="0046571D" w:rsidRPr="0046571D" w:rsidRDefault="0046571D" w:rsidP="00EB254F">
            <w:pPr>
              <w:jc w:val="center"/>
              <w:rPr>
                <w:bCs/>
                <w:sz w:val="20"/>
              </w:rPr>
            </w:pPr>
            <w:r w:rsidRPr="0046571D">
              <w:rPr>
                <w:bCs/>
                <w:sz w:val="20"/>
              </w:rPr>
              <w:t>Редакция разработчика</w:t>
            </w:r>
          </w:p>
        </w:tc>
        <w:tc>
          <w:tcPr>
            <w:tcW w:w="5030" w:type="dxa"/>
            <w:gridSpan w:val="3"/>
            <w:vAlign w:val="center"/>
          </w:tcPr>
          <w:p w14:paraId="07A7A0E8" w14:textId="497BDFBF" w:rsidR="0046571D" w:rsidRPr="00301462" w:rsidRDefault="0046571D" w:rsidP="00EB254F">
            <w:pPr>
              <w:jc w:val="center"/>
              <w:rPr>
                <w:sz w:val="20"/>
              </w:rPr>
            </w:pPr>
            <w:r>
              <w:rPr>
                <w:sz w:val="20"/>
              </w:rPr>
              <w:t>Предложения КЦА</w:t>
            </w:r>
          </w:p>
        </w:tc>
        <w:tc>
          <w:tcPr>
            <w:tcW w:w="2551" w:type="dxa"/>
            <w:vAlign w:val="center"/>
          </w:tcPr>
          <w:p w14:paraId="44D4A099" w14:textId="2539F399" w:rsidR="0046571D" w:rsidRPr="0046571D" w:rsidRDefault="0046571D" w:rsidP="00EB254F">
            <w:pPr>
              <w:jc w:val="center"/>
              <w:rPr>
                <w:bCs/>
                <w:sz w:val="20"/>
              </w:rPr>
            </w:pPr>
            <w:r w:rsidRPr="0046571D">
              <w:rPr>
                <w:bCs/>
                <w:sz w:val="20"/>
              </w:rPr>
              <w:t>Позиция разработчика</w:t>
            </w:r>
          </w:p>
        </w:tc>
        <w:tc>
          <w:tcPr>
            <w:tcW w:w="2126" w:type="dxa"/>
            <w:vAlign w:val="center"/>
          </w:tcPr>
          <w:p w14:paraId="2C21EFE4" w14:textId="5A2B1EBC" w:rsidR="0046571D" w:rsidRPr="00DA0043" w:rsidRDefault="00337F6E" w:rsidP="00EB254F">
            <w:pPr>
              <w:jc w:val="center"/>
              <w:rPr>
                <w:b/>
                <w:sz w:val="22"/>
                <w:szCs w:val="22"/>
              </w:rPr>
            </w:pPr>
            <w:r>
              <w:rPr>
                <w:rFonts w:ascii="Times New Roman CYR" w:hAnsi="Times New Roman CYR"/>
                <w:sz w:val="20"/>
              </w:rPr>
              <w:t>Мнение</w:t>
            </w:r>
            <w:r>
              <w:rPr>
                <w:rFonts w:ascii="Times New Roman CYR" w:hAnsi="Times New Roman CYR"/>
                <w:sz w:val="20"/>
              </w:rPr>
              <w:br/>
              <w:t>14-го заседания РГ РОА</w:t>
            </w:r>
          </w:p>
        </w:tc>
      </w:tr>
      <w:tr w:rsidR="007A4DDC" w:rsidRPr="00D1407F" w14:paraId="15E7BD43" w14:textId="77777777" w:rsidTr="00E34347">
        <w:trPr>
          <w:trHeight w:val="461"/>
        </w:trPr>
        <w:tc>
          <w:tcPr>
            <w:tcW w:w="5030" w:type="dxa"/>
            <w:gridSpan w:val="4"/>
          </w:tcPr>
          <w:p w14:paraId="4C1594DE" w14:textId="77777777" w:rsidR="00301462" w:rsidRPr="00301462" w:rsidRDefault="00301462" w:rsidP="00301462">
            <w:pPr>
              <w:jc w:val="both"/>
              <w:rPr>
                <w:b/>
                <w:sz w:val="20"/>
              </w:rPr>
            </w:pPr>
            <w:r w:rsidRPr="00301462">
              <w:rPr>
                <w:b/>
                <w:sz w:val="20"/>
              </w:rPr>
              <w:t>1.1 Введение</w:t>
            </w:r>
          </w:p>
          <w:p w14:paraId="364EED00" w14:textId="72FCDD64" w:rsidR="007A4DDC" w:rsidRPr="00301462" w:rsidRDefault="00301462" w:rsidP="00301462">
            <w:pPr>
              <w:jc w:val="both"/>
              <w:rPr>
                <w:b/>
                <w:sz w:val="20"/>
              </w:rPr>
            </w:pPr>
            <w:r w:rsidRPr="00301462">
              <w:rPr>
                <w:bCs/>
                <w:sz w:val="20"/>
              </w:rPr>
              <w:t>Настоящий документ устанавливает требования и процедуры оценки органа по аккредитации, желающего присоединиться к Договоренности ЕААС о взаимном признании.</w:t>
            </w:r>
          </w:p>
        </w:tc>
        <w:tc>
          <w:tcPr>
            <w:tcW w:w="5030" w:type="dxa"/>
            <w:gridSpan w:val="3"/>
          </w:tcPr>
          <w:p w14:paraId="64A27DB8" w14:textId="77777777" w:rsidR="007A4DDC" w:rsidRPr="00301462" w:rsidRDefault="007A4DDC" w:rsidP="007A4DDC">
            <w:pPr>
              <w:jc w:val="both"/>
              <w:rPr>
                <w:sz w:val="20"/>
              </w:rPr>
            </w:pPr>
            <w:r w:rsidRPr="00301462">
              <w:rPr>
                <w:sz w:val="20"/>
              </w:rPr>
              <w:t>П.1.1 Порядка, после слова «процедуры» дополнить словом «паритетной» для приведения в соответствие с наименованием Порядка;</w:t>
            </w:r>
          </w:p>
          <w:p w14:paraId="2D827477" w14:textId="1C483EB1" w:rsidR="007A4DDC" w:rsidRPr="00301462" w:rsidRDefault="007A4DDC" w:rsidP="007A4DDC">
            <w:pPr>
              <w:jc w:val="both"/>
              <w:rPr>
                <w:b/>
                <w:sz w:val="20"/>
              </w:rPr>
            </w:pPr>
            <w:r w:rsidRPr="00301462">
              <w:rPr>
                <w:sz w:val="20"/>
              </w:rPr>
              <w:t>В структуру Порядка включить раздел «Нормативные ссылки» для обеспечения системности управления документов ЕААС (согласно проекту Порядка по разработке. документов) и   в связи с наличием ссылочных документов по тексту Порядка;</w:t>
            </w:r>
          </w:p>
        </w:tc>
        <w:tc>
          <w:tcPr>
            <w:tcW w:w="2551" w:type="dxa"/>
          </w:tcPr>
          <w:p w14:paraId="4FE934D1" w14:textId="490A6088" w:rsidR="007A4DDC" w:rsidRPr="0046571D" w:rsidRDefault="007A4DDC" w:rsidP="007A4DDC">
            <w:pPr>
              <w:rPr>
                <w:b/>
                <w:sz w:val="20"/>
              </w:rPr>
            </w:pPr>
            <w:r w:rsidRPr="0046571D">
              <w:rPr>
                <w:bCs/>
                <w:i/>
                <w:iCs/>
                <w:sz w:val="20"/>
              </w:rPr>
              <w:t>Принято разработчиком</w:t>
            </w:r>
          </w:p>
        </w:tc>
        <w:tc>
          <w:tcPr>
            <w:tcW w:w="2126" w:type="dxa"/>
          </w:tcPr>
          <w:p w14:paraId="00BAB614" w14:textId="3A0794EE" w:rsidR="007A4DDC" w:rsidRPr="00DA0043" w:rsidRDefault="007A4DDC" w:rsidP="007A4DDC">
            <w:pPr>
              <w:jc w:val="center"/>
              <w:rPr>
                <w:b/>
                <w:sz w:val="22"/>
                <w:szCs w:val="22"/>
              </w:rPr>
            </w:pPr>
          </w:p>
        </w:tc>
      </w:tr>
      <w:tr w:rsidR="007A4DDC" w:rsidRPr="00D1407F" w14:paraId="41173E29" w14:textId="77777777" w:rsidTr="00E34347">
        <w:trPr>
          <w:trHeight w:val="461"/>
        </w:trPr>
        <w:tc>
          <w:tcPr>
            <w:tcW w:w="5030" w:type="dxa"/>
            <w:gridSpan w:val="4"/>
          </w:tcPr>
          <w:p w14:paraId="49C16E0F" w14:textId="77777777" w:rsidR="00301462" w:rsidRPr="00301462" w:rsidRDefault="00301462" w:rsidP="00301462">
            <w:pPr>
              <w:pStyle w:val="3"/>
              <w:tabs>
                <w:tab w:val="num" w:pos="0"/>
              </w:tabs>
              <w:spacing w:after="0"/>
              <w:ind w:left="0"/>
              <w:jc w:val="both"/>
              <w:outlineLvl w:val="0"/>
              <w:rPr>
                <w:b/>
                <w:bCs/>
                <w:sz w:val="20"/>
                <w:szCs w:val="20"/>
              </w:rPr>
            </w:pPr>
            <w:bookmarkStart w:id="0" w:name="_Toc82786341"/>
            <w:r w:rsidRPr="00301462">
              <w:rPr>
                <w:b/>
                <w:bCs/>
                <w:sz w:val="20"/>
                <w:szCs w:val="20"/>
              </w:rPr>
              <w:t>1.4 Цель паритетных оценок</w:t>
            </w:r>
            <w:r w:rsidRPr="00301462">
              <w:rPr>
                <w:bCs/>
                <w:sz w:val="20"/>
                <w:szCs w:val="20"/>
                <w:vertAlign w:val="superscript"/>
              </w:rPr>
              <w:footnoteReference w:id="1"/>
            </w:r>
            <w:bookmarkEnd w:id="0"/>
          </w:p>
          <w:p w14:paraId="1CA81A15" w14:textId="77777777" w:rsidR="00301462" w:rsidRPr="00301462" w:rsidRDefault="00301462" w:rsidP="00301462">
            <w:pPr>
              <w:pStyle w:val="aa"/>
              <w:tabs>
                <w:tab w:val="left" w:pos="851"/>
              </w:tabs>
              <w:ind w:left="0"/>
              <w:contextualSpacing w:val="0"/>
              <w:jc w:val="both"/>
              <w:rPr>
                <w:sz w:val="20"/>
              </w:rPr>
            </w:pPr>
            <w:r w:rsidRPr="00301462">
              <w:rPr>
                <w:sz w:val="20"/>
              </w:rPr>
              <w:t>Паритетные оценки проводятся в соответствии с установленным порядком с целью:</w:t>
            </w:r>
          </w:p>
          <w:p w14:paraId="77FD48EE" w14:textId="77777777" w:rsidR="00301462" w:rsidRPr="00301462" w:rsidRDefault="00301462" w:rsidP="00301462">
            <w:pPr>
              <w:pStyle w:val="aa"/>
              <w:tabs>
                <w:tab w:val="left" w:pos="851"/>
              </w:tabs>
              <w:ind w:left="0"/>
              <w:contextualSpacing w:val="0"/>
              <w:jc w:val="both"/>
              <w:rPr>
                <w:sz w:val="20"/>
              </w:rPr>
            </w:pPr>
            <w:r w:rsidRPr="00301462">
              <w:rPr>
                <w:sz w:val="20"/>
              </w:rPr>
              <w:t>а) обеспечения эквивалентного уровня компетентности органов по аккредитации, присоединившихся к Договоренности ЕААС о взаимном признании;</w:t>
            </w:r>
          </w:p>
          <w:p w14:paraId="4AE3C03B" w14:textId="77777777" w:rsidR="00301462" w:rsidRPr="00301462" w:rsidRDefault="00301462" w:rsidP="00301462">
            <w:pPr>
              <w:pStyle w:val="aa"/>
              <w:tabs>
                <w:tab w:val="left" w:pos="851"/>
              </w:tabs>
              <w:ind w:left="0"/>
              <w:contextualSpacing w:val="0"/>
              <w:jc w:val="both"/>
              <w:rPr>
                <w:sz w:val="20"/>
              </w:rPr>
            </w:pPr>
            <w:r w:rsidRPr="00301462">
              <w:rPr>
                <w:sz w:val="20"/>
              </w:rPr>
              <w:t>б) обеспечения эквивалентного уровня компетентности органов по оценке соответствия, аккредитованных подписантами Договоренности ЕААС о взаимном признании;</w:t>
            </w:r>
          </w:p>
          <w:p w14:paraId="1E527552" w14:textId="77777777" w:rsidR="00301462" w:rsidRPr="00301462" w:rsidRDefault="00301462" w:rsidP="00301462">
            <w:pPr>
              <w:pStyle w:val="aa"/>
              <w:tabs>
                <w:tab w:val="left" w:pos="851"/>
              </w:tabs>
              <w:ind w:left="0"/>
              <w:contextualSpacing w:val="0"/>
              <w:jc w:val="both"/>
              <w:rPr>
                <w:sz w:val="20"/>
              </w:rPr>
            </w:pPr>
            <w:r w:rsidRPr="00301462">
              <w:rPr>
                <w:sz w:val="20"/>
              </w:rPr>
              <w:t>в) содействия устранению технических барьеров в торговле посредством информирования заинтересованных сторон (органы государственного управления, бизнес-сообщество и т.д.) о наличии объективных документированных свидетельств в пользу взаимного признания документов, выданных органами по оценке соответствия, аккредитованными подписантами Договоренности ЕААС.</w:t>
            </w:r>
          </w:p>
          <w:p w14:paraId="5C6B951E" w14:textId="77777777" w:rsidR="00301462" w:rsidRDefault="00301462" w:rsidP="00301462">
            <w:pPr>
              <w:pStyle w:val="aa"/>
              <w:tabs>
                <w:tab w:val="left" w:pos="851"/>
              </w:tabs>
              <w:ind w:left="0"/>
              <w:contextualSpacing w:val="0"/>
              <w:jc w:val="both"/>
              <w:rPr>
                <w:sz w:val="22"/>
                <w:szCs w:val="22"/>
              </w:rPr>
            </w:pPr>
          </w:p>
          <w:p w14:paraId="2C5153FA" w14:textId="5E5B88C2" w:rsidR="007A4DDC" w:rsidRPr="00DA0043" w:rsidRDefault="00301462" w:rsidP="00301462">
            <w:pPr>
              <w:overflowPunct/>
              <w:autoSpaceDE/>
              <w:autoSpaceDN/>
              <w:adjustRightInd/>
              <w:jc w:val="both"/>
              <w:rPr>
                <w:b/>
                <w:sz w:val="22"/>
                <w:szCs w:val="22"/>
              </w:rPr>
            </w:pPr>
            <w:r w:rsidRPr="00AE7A1E">
              <w:rPr>
                <w:rStyle w:val="af0"/>
                <w:sz w:val="18"/>
                <w:szCs w:val="18"/>
              </w:rPr>
              <w:footnoteRef/>
            </w:r>
            <w:r w:rsidRPr="00AE7A1E">
              <w:rPr>
                <w:sz w:val="18"/>
                <w:szCs w:val="18"/>
              </w:rPr>
              <w:t xml:space="preserve"> </w:t>
            </w:r>
            <w:proofErr w:type="spellStart"/>
            <w:r w:rsidRPr="00AE7A1E">
              <w:rPr>
                <w:sz w:val="18"/>
                <w:szCs w:val="18"/>
              </w:rPr>
              <w:t>Справочно</w:t>
            </w:r>
            <w:proofErr w:type="spellEnd"/>
            <w:r w:rsidRPr="00F862FA">
              <w:rPr>
                <w:sz w:val="18"/>
                <w:szCs w:val="18"/>
              </w:rPr>
              <w:t>:</w:t>
            </w:r>
            <w:r>
              <w:rPr>
                <w:sz w:val="18"/>
                <w:szCs w:val="18"/>
              </w:rPr>
              <w:t xml:space="preserve"> </w:t>
            </w:r>
            <w:r w:rsidRPr="00AE7A1E">
              <w:rPr>
                <w:sz w:val="18"/>
                <w:szCs w:val="18"/>
              </w:rPr>
              <w:t>для членов РГ РОА: пункт</w:t>
            </w:r>
            <w:r>
              <w:rPr>
                <w:sz w:val="18"/>
                <w:szCs w:val="18"/>
              </w:rPr>
              <w:t xml:space="preserve"> 1.4</w:t>
            </w:r>
            <w:r w:rsidRPr="00AE7A1E">
              <w:rPr>
                <w:sz w:val="18"/>
                <w:szCs w:val="18"/>
              </w:rPr>
              <w:t xml:space="preserve"> сформулирован по аналогии с положениями Регламента ЕС 765/2008 и документа APAC MRA-001 Процедуры создания и поддержания взаимного признания между органами по аккредитации-членами АРАС (пункт 4.1).</w:t>
            </w:r>
          </w:p>
        </w:tc>
        <w:tc>
          <w:tcPr>
            <w:tcW w:w="5030" w:type="dxa"/>
            <w:gridSpan w:val="3"/>
          </w:tcPr>
          <w:p w14:paraId="398420AA" w14:textId="5C775FEB" w:rsidR="007A4DDC" w:rsidRPr="00301462" w:rsidRDefault="007A4DDC" w:rsidP="007A4DDC">
            <w:pPr>
              <w:overflowPunct/>
              <w:autoSpaceDE/>
              <w:autoSpaceDN/>
              <w:adjustRightInd/>
              <w:jc w:val="both"/>
              <w:rPr>
                <w:sz w:val="20"/>
                <w:lang w:eastAsia="en-US"/>
              </w:rPr>
            </w:pPr>
            <w:r w:rsidRPr="00301462">
              <w:rPr>
                <w:sz w:val="20"/>
                <w:lang w:eastAsia="en-US"/>
              </w:rPr>
              <w:t>П.1.4 Порядка предлагается установить следующие цели, поставленной Договоренности ЕААС:</w:t>
            </w:r>
          </w:p>
          <w:p w14:paraId="1CE5EB6F" w14:textId="7E7B54F6" w:rsidR="007A4DDC" w:rsidRPr="00301462" w:rsidRDefault="007A4DDC" w:rsidP="007A4DDC">
            <w:pPr>
              <w:overflowPunct/>
              <w:autoSpaceDE/>
              <w:autoSpaceDN/>
              <w:adjustRightInd/>
              <w:jc w:val="both"/>
              <w:rPr>
                <w:sz w:val="20"/>
                <w:lang w:eastAsia="en-US"/>
              </w:rPr>
            </w:pPr>
            <w:r w:rsidRPr="00301462">
              <w:rPr>
                <w:sz w:val="20"/>
                <w:lang w:eastAsia="en-US"/>
              </w:rPr>
              <w:t>a) соответствие органов по аккредитации заданным требованиям;</w:t>
            </w:r>
          </w:p>
          <w:p w14:paraId="3B85B45A" w14:textId="77777777" w:rsidR="007A4DDC" w:rsidRPr="00301462" w:rsidRDefault="007A4DDC" w:rsidP="007A4DDC">
            <w:pPr>
              <w:overflowPunct/>
              <w:autoSpaceDE/>
              <w:autoSpaceDN/>
              <w:adjustRightInd/>
              <w:jc w:val="both"/>
              <w:rPr>
                <w:sz w:val="20"/>
                <w:lang w:eastAsia="en-US"/>
              </w:rPr>
            </w:pPr>
            <w:r w:rsidRPr="00301462">
              <w:rPr>
                <w:sz w:val="20"/>
                <w:lang w:eastAsia="en-US"/>
              </w:rPr>
              <w:t>b) эквивалентность результатов разных органов по аккредитации;</w:t>
            </w:r>
          </w:p>
          <w:p w14:paraId="72343DE5" w14:textId="136756D8" w:rsidR="007A4DDC" w:rsidRPr="00301462" w:rsidRDefault="007A4DDC" w:rsidP="007A4DDC">
            <w:pPr>
              <w:overflowPunct/>
              <w:autoSpaceDE/>
              <w:autoSpaceDN/>
              <w:adjustRightInd/>
              <w:jc w:val="both"/>
              <w:rPr>
                <w:b/>
                <w:sz w:val="20"/>
              </w:rPr>
            </w:pPr>
            <w:r w:rsidRPr="00301462">
              <w:rPr>
                <w:sz w:val="20"/>
                <w:lang w:eastAsia="en-US"/>
              </w:rPr>
              <w:t xml:space="preserve">c) признание результатов деятельности одного из органов по аккредитации другими органами по аккредитации, т.к. все Договоренности в области аккредитации ООС должны быть направлены на признание результатов деятельности в указанной области, в связи с тем, что МС </w:t>
            </w:r>
            <w:r w:rsidRPr="00301462">
              <w:rPr>
                <w:sz w:val="20"/>
                <w:lang w:val="en-US" w:eastAsia="en-US"/>
              </w:rPr>
              <w:t>ISO</w:t>
            </w:r>
            <w:r w:rsidRPr="00301462">
              <w:rPr>
                <w:sz w:val="20"/>
                <w:lang w:eastAsia="en-US"/>
              </w:rPr>
              <w:t>/</w:t>
            </w:r>
            <w:r w:rsidRPr="00301462">
              <w:rPr>
                <w:sz w:val="20"/>
                <w:lang w:val="en-US" w:eastAsia="en-US"/>
              </w:rPr>
              <w:t>IEC</w:t>
            </w:r>
            <w:r w:rsidRPr="00301462">
              <w:rPr>
                <w:sz w:val="20"/>
                <w:lang w:eastAsia="en-US"/>
              </w:rPr>
              <w:t xml:space="preserve"> 17011 устанавливает не только требования к компетентности органа по аккредитации.</w:t>
            </w:r>
          </w:p>
        </w:tc>
        <w:tc>
          <w:tcPr>
            <w:tcW w:w="2551" w:type="dxa"/>
          </w:tcPr>
          <w:p w14:paraId="414E9EC2" w14:textId="2962E9A6" w:rsidR="007A4DDC" w:rsidRPr="00EC68A0" w:rsidRDefault="007A4DDC" w:rsidP="007A4DDC">
            <w:pPr>
              <w:rPr>
                <w:b/>
                <w:sz w:val="20"/>
              </w:rPr>
            </w:pPr>
            <w:r w:rsidRPr="00EC68A0">
              <w:rPr>
                <w:bCs/>
                <w:i/>
                <w:iCs/>
                <w:sz w:val="20"/>
              </w:rPr>
              <w:t>Предлагаем обсудить в рамках очередного заседания.</w:t>
            </w:r>
          </w:p>
        </w:tc>
        <w:tc>
          <w:tcPr>
            <w:tcW w:w="2126" w:type="dxa"/>
          </w:tcPr>
          <w:p w14:paraId="59377F30" w14:textId="409C2545" w:rsidR="007A4DDC" w:rsidRPr="00EC68A0" w:rsidRDefault="007A4DDC" w:rsidP="007A4DDC">
            <w:pPr>
              <w:rPr>
                <w:b/>
                <w:sz w:val="20"/>
              </w:rPr>
            </w:pPr>
          </w:p>
        </w:tc>
      </w:tr>
      <w:tr w:rsidR="007A4DDC" w:rsidRPr="00D1407F" w14:paraId="6B8005F9" w14:textId="77777777" w:rsidTr="00E34347">
        <w:trPr>
          <w:trHeight w:val="461"/>
        </w:trPr>
        <w:tc>
          <w:tcPr>
            <w:tcW w:w="5030" w:type="dxa"/>
            <w:gridSpan w:val="4"/>
          </w:tcPr>
          <w:p w14:paraId="316E4A8A" w14:textId="77777777" w:rsidR="00ED73BC" w:rsidRPr="00ED73BC" w:rsidRDefault="00ED73BC" w:rsidP="00ED73BC">
            <w:pPr>
              <w:jc w:val="both"/>
              <w:rPr>
                <w:b/>
                <w:sz w:val="20"/>
              </w:rPr>
            </w:pPr>
            <w:r w:rsidRPr="00ED73BC">
              <w:rPr>
                <w:b/>
                <w:sz w:val="20"/>
              </w:rPr>
              <w:t>2.2</w:t>
            </w:r>
            <w:r w:rsidRPr="00ED73BC">
              <w:rPr>
                <w:b/>
                <w:sz w:val="20"/>
              </w:rPr>
              <w:tab/>
              <w:t>Дополнительные требования</w:t>
            </w:r>
          </w:p>
          <w:p w14:paraId="148D77B2" w14:textId="6F2E5657" w:rsidR="007A4DDC" w:rsidRPr="006753BF" w:rsidRDefault="00ED73BC" w:rsidP="00ED73BC">
            <w:pPr>
              <w:overflowPunct/>
              <w:autoSpaceDE/>
              <w:autoSpaceDN/>
              <w:adjustRightInd/>
              <w:jc w:val="both"/>
              <w:rPr>
                <w:sz w:val="24"/>
                <w:szCs w:val="24"/>
                <w:lang w:eastAsia="en-US"/>
              </w:rPr>
            </w:pPr>
            <w:r w:rsidRPr="00ED73BC">
              <w:rPr>
                <w:bCs/>
                <w:sz w:val="20"/>
              </w:rPr>
              <w:t>2.3.1</w:t>
            </w:r>
            <w:r w:rsidRPr="00ED73BC">
              <w:rPr>
                <w:bCs/>
                <w:sz w:val="20"/>
              </w:rPr>
              <w:tab/>
              <w:t>Орган по аккредитации должен:</w:t>
            </w:r>
          </w:p>
        </w:tc>
        <w:tc>
          <w:tcPr>
            <w:tcW w:w="5030" w:type="dxa"/>
            <w:gridSpan w:val="3"/>
          </w:tcPr>
          <w:p w14:paraId="33B8900C" w14:textId="52DE9969" w:rsidR="007A4DDC" w:rsidRPr="00301462" w:rsidRDefault="007A4DDC" w:rsidP="007A4DDC">
            <w:pPr>
              <w:overflowPunct/>
              <w:autoSpaceDE/>
              <w:autoSpaceDN/>
              <w:adjustRightInd/>
              <w:jc w:val="both"/>
              <w:rPr>
                <w:sz w:val="20"/>
                <w:lang w:eastAsia="en-US"/>
              </w:rPr>
            </w:pPr>
            <w:r w:rsidRPr="00301462">
              <w:rPr>
                <w:sz w:val="20"/>
                <w:lang w:eastAsia="en-US"/>
              </w:rPr>
              <w:t>П.2.2 Порядка после раздела поправить на «п. 2.2.1» в связи с опечаткой (указано п.2.3.1);</w:t>
            </w:r>
          </w:p>
        </w:tc>
        <w:tc>
          <w:tcPr>
            <w:tcW w:w="2551" w:type="dxa"/>
          </w:tcPr>
          <w:p w14:paraId="66A4949F" w14:textId="11083509" w:rsidR="007A4DDC" w:rsidRPr="00EC68A0" w:rsidRDefault="007A4DDC" w:rsidP="007A4DDC">
            <w:pPr>
              <w:jc w:val="center"/>
              <w:rPr>
                <w:b/>
                <w:sz w:val="20"/>
              </w:rPr>
            </w:pPr>
            <w:r w:rsidRPr="00EC68A0">
              <w:rPr>
                <w:bCs/>
                <w:i/>
                <w:iCs/>
                <w:sz w:val="20"/>
              </w:rPr>
              <w:t>Принято разработчиком.</w:t>
            </w:r>
          </w:p>
        </w:tc>
        <w:tc>
          <w:tcPr>
            <w:tcW w:w="2126" w:type="dxa"/>
          </w:tcPr>
          <w:p w14:paraId="4A7AFE71" w14:textId="002D5864" w:rsidR="007A4DDC" w:rsidRPr="00DA0043" w:rsidRDefault="007A4DDC" w:rsidP="007A4DDC">
            <w:pPr>
              <w:jc w:val="center"/>
              <w:rPr>
                <w:b/>
                <w:sz w:val="22"/>
                <w:szCs w:val="22"/>
              </w:rPr>
            </w:pPr>
          </w:p>
        </w:tc>
      </w:tr>
      <w:tr w:rsidR="007A4DDC" w:rsidRPr="00104922" w14:paraId="68C53DCB" w14:textId="77777777" w:rsidTr="00E34347">
        <w:trPr>
          <w:trHeight w:val="461"/>
        </w:trPr>
        <w:tc>
          <w:tcPr>
            <w:tcW w:w="5030" w:type="dxa"/>
            <w:gridSpan w:val="4"/>
          </w:tcPr>
          <w:p w14:paraId="1F35F91C" w14:textId="2100BFC8" w:rsidR="007A4DDC" w:rsidRPr="00ED73BC" w:rsidRDefault="00ED73BC" w:rsidP="007A4DDC">
            <w:pPr>
              <w:overflowPunct/>
              <w:autoSpaceDE/>
              <w:autoSpaceDN/>
              <w:adjustRightInd/>
              <w:jc w:val="both"/>
              <w:rPr>
                <w:sz w:val="20"/>
                <w:lang w:eastAsia="en-US"/>
              </w:rPr>
            </w:pPr>
            <w:r w:rsidRPr="00ED73BC">
              <w:rPr>
                <w:bCs/>
                <w:sz w:val="20"/>
              </w:rPr>
              <w:t>2.2.1.3</w:t>
            </w:r>
            <w:r w:rsidRPr="00ED73BC">
              <w:rPr>
                <w:bCs/>
                <w:sz w:val="20"/>
              </w:rPr>
              <w:tab/>
              <w:t xml:space="preserve">Установить приемлемые способы обеспечения прослеживаемости и оценивать их реализацию органами по оценке соответствия (согласно политике ILAC P10) </w:t>
            </w:r>
            <w:r w:rsidRPr="00ED73BC">
              <w:rPr>
                <w:bCs/>
                <w:i/>
                <w:iCs/>
                <w:sz w:val="20"/>
              </w:rPr>
              <w:t>(п.2.2.1.3 IAF/ILAC-A2:01/2018)</w:t>
            </w:r>
            <w:r w:rsidRPr="00ED73BC">
              <w:rPr>
                <w:bCs/>
                <w:sz w:val="20"/>
              </w:rPr>
              <w:t>;</w:t>
            </w:r>
          </w:p>
        </w:tc>
        <w:tc>
          <w:tcPr>
            <w:tcW w:w="5030" w:type="dxa"/>
            <w:gridSpan w:val="3"/>
          </w:tcPr>
          <w:p w14:paraId="297201E4" w14:textId="02370A64" w:rsidR="007A4DDC" w:rsidRPr="00301462" w:rsidRDefault="007A4DDC" w:rsidP="007A4DDC">
            <w:pPr>
              <w:overflowPunct/>
              <w:autoSpaceDE/>
              <w:autoSpaceDN/>
              <w:adjustRightInd/>
              <w:jc w:val="both"/>
              <w:rPr>
                <w:sz w:val="20"/>
                <w:lang w:eastAsia="en-US"/>
              </w:rPr>
            </w:pPr>
            <w:r w:rsidRPr="00301462">
              <w:rPr>
                <w:sz w:val="20"/>
                <w:lang w:eastAsia="en-US"/>
              </w:rPr>
              <w:t>П.2.2.1.3 Порядка после слов «способы обеспечения» дополнить словам «метрологической» для исключения разно толкований и в соответствии с наименованием политики ILAC P10;</w:t>
            </w:r>
          </w:p>
        </w:tc>
        <w:tc>
          <w:tcPr>
            <w:tcW w:w="2551" w:type="dxa"/>
          </w:tcPr>
          <w:p w14:paraId="6AC616FC" w14:textId="5DB920D6" w:rsidR="007A4DDC" w:rsidRPr="00EC68A0" w:rsidRDefault="007A4DDC" w:rsidP="007A4DDC">
            <w:pPr>
              <w:tabs>
                <w:tab w:val="left" w:pos="14092"/>
              </w:tabs>
              <w:rPr>
                <w:rFonts w:eastAsia="Calibri"/>
                <w:i/>
                <w:iCs/>
                <w:sz w:val="20"/>
                <w:lang w:eastAsia="en-US"/>
              </w:rPr>
            </w:pPr>
            <w:r w:rsidRPr="00EC68A0">
              <w:rPr>
                <w:rFonts w:eastAsia="Calibri"/>
                <w:i/>
                <w:iCs/>
                <w:sz w:val="20"/>
                <w:lang w:eastAsia="en-US"/>
              </w:rPr>
              <w:t xml:space="preserve">Предлагаем обсудить в рамках очередного заседания совместно с предложением казахстанской стороны по данному пункту </w:t>
            </w:r>
            <w:r w:rsidR="00DA3BA8" w:rsidRPr="00DA3BA8">
              <w:rPr>
                <w:rFonts w:eastAsia="Calibri"/>
                <w:i/>
                <w:iCs/>
                <w:sz w:val="20"/>
                <w:lang w:eastAsia="en-US"/>
              </w:rPr>
              <w:t>(стр.</w:t>
            </w:r>
            <w:proofErr w:type="gramStart"/>
            <w:r w:rsidR="00DA3BA8" w:rsidRPr="00DA3BA8">
              <w:rPr>
                <w:rFonts w:eastAsia="Calibri"/>
                <w:i/>
                <w:iCs/>
                <w:sz w:val="20"/>
                <w:lang w:eastAsia="en-US"/>
              </w:rPr>
              <w:t>3)</w:t>
            </w:r>
            <w:r w:rsidRPr="00EC68A0">
              <w:rPr>
                <w:rFonts w:eastAsia="Calibri"/>
                <w:i/>
                <w:iCs/>
                <w:sz w:val="20"/>
                <w:lang w:eastAsia="en-US"/>
              </w:rPr>
              <w:t>и</w:t>
            </w:r>
            <w:proofErr w:type="gramEnd"/>
            <w:r w:rsidRPr="00EC68A0">
              <w:rPr>
                <w:rFonts w:eastAsia="Calibri"/>
                <w:i/>
                <w:iCs/>
                <w:sz w:val="20"/>
                <w:lang w:eastAsia="en-US"/>
              </w:rPr>
              <w:t xml:space="preserve"> принять</w:t>
            </w:r>
            <w:r w:rsidR="00AF522D">
              <w:rPr>
                <w:rFonts w:eastAsia="Calibri"/>
                <w:i/>
                <w:iCs/>
                <w:sz w:val="20"/>
                <w:lang w:eastAsia="en-US"/>
              </w:rPr>
              <w:t xml:space="preserve"> </w:t>
            </w:r>
          </w:p>
          <w:p w14:paraId="4C6CB430" w14:textId="77777777" w:rsidR="007A4DDC" w:rsidRPr="00EC68A0" w:rsidRDefault="007A4DDC" w:rsidP="007A4DDC">
            <w:pPr>
              <w:tabs>
                <w:tab w:val="left" w:pos="14092"/>
              </w:tabs>
              <w:rPr>
                <w:rFonts w:eastAsia="Calibri"/>
                <w:i/>
                <w:iCs/>
                <w:sz w:val="20"/>
                <w:lang w:eastAsia="en-US"/>
              </w:rPr>
            </w:pPr>
          </w:p>
          <w:p w14:paraId="01496BFC" w14:textId="77777777" w:rsidR="007A4DDC" w:rsidRPr="00EC68A0" w:rsidRDefault="007A4DDC" w:rsidP="007A4DDC">
            <w:pPr>
              <w:tabs>
                <w:tab w:val="left" w:pos="14092"/>
              </w:tabs>
              <w:rPr>
                <w:rFonts w:eastAsia="Calibri"/>
                <w:i/>
                <w:iCs/>
                <w:sz w:val="20"/>
                <w:lang w:val="en-US" w:eastAsia="en-US"/>
              </w:rPr>
            </w:pPr>
            <w:r w:rsidRPr="00EC68A0">
              <w:rPr>
                <w:rFonts w:eastAsia="Calibri"/>
                <w:i/>
                <w:iCs/>
                <w:sz w:val="20"/>
                <w:lang w:val="en-US" w:eastAsia="en-US"/>
              </w:rPr>
              <w:t>IAF/ILAC-A2:01/2018</w:t>
            </w:r>
          </w:p>
          <w:p w14:paraId="6F478DFD" w14:textId="78C04E27" w:rsidR="007A4DDC" w:rsidRPr="00EC68A0" w:rsidRDefault="007A4DDC" w:rsidP="007A4DDC">
            <w:pPr>
              <w:rPr>
                <w:b/>
                <w:sz w:val="22"/>
                <w:szCs w:val="22"/>
                <w:lang w:val="en-US"/>
              </w:rPr>
            </w:pPr>
            <w:r w:rsidRPr="00EC68A0">
              <w:rPr>
                <w:rFonts w:eastAsia="Calibri"/>
                <w:i/>
                <w:iCs/>
                <w:sz w:val="20"/>
                <w:lang w:val="en-US" w:eastAsia="en-US"/>
              </w:rPr>
              <w:t>2.2.1.3 Specify the acceptable routes for traceability, and assess its implementation by CABs (ILAC applicant and signatory ABs: see ILAC P10).</w:t>
            </w:r>
          </w:p>
        </w:tc>
        <w:tc>
          <w:tcPr>
            <w:tcW w:w="2126" w:type="dxa"/>
          </w:tcPr>
          <w:p w14:paraId="15BF58FA" w14:textId="52E67C9E" w:rsidR="007A4DDC" w:rsidRPr="00EC68A0" w:rsidRDefault="007A4DDC" w:rsidP="007A4DDC">
            <w:pPr>
              <w:jc w:val="center"/>
              <w:rPr>
                <w:b/>
                <w:sz w:val="22"/>
                <w:szCs w:val="22"/>
                <w:lang w:val="en-US"/>
              </w:rPr>
            </w:pPr>
          </w:p>
        </w:tc>
      </w:tr>
      <w:tr w:rsidR="007A4DDC" w:rsidRPr="00D1407F" w14:paraId="73DD417F" w14:textId="77777777" w:rsidTr="00E34347">
        <w:trPr>
          <w:trHeight w:val="461"/>
        </w:trPr>
        <w:tc>
          <w:tcPr>
            <w:tcW w:w="5030" w:type="dxa"/>
            <w:gridSpan w:val="4"/>
          </w:tcPr>
          <w:p w14:paraId="2B08B15A" w14:textId="519FC395" w:rsidR="007A4DDC" w:rsidRPr="00ED73BC" w:rsidRDefault="00ED73BC" w:rsidP="007A4DDC">
            <w:pPr>
              <w:jc w:val="both"/>
              <w:rPr>
                <w:b/>
                <w:sz w:val="20"/>
              </w:rPr>
            </w:pPr>
            <w:r w:rsidRPr="00ED73BC">
              <w:rPr>
                <w:bCs/>
                <w:sz w:val="20"/>
              </w:rPr>
              <w:t>2.2.1.8</w:t>
            </w:r>
            <w:r w:rsidRPr="00ED73BC">
              <w:rPr>
                <w:bCs/>
                <w:sz w:val="20"/>
              </w:rPr>
              <w:tab/>
              <w:t xml:space="preserve">внедрить политику по трансграничной аккредитации в соответствии с положениями документов </w:t>
            </w:r>
            <w:r w:rsidRPr="00ED73BC">
              <w:rPr>
                <w:bCs/>
                <w:sz w:val="20"/>
                <w:lang w:val="en-US"/>
              </w:rPr>
              <w:t>IAF</w:t>
            </w:r>
            <w:r w:rsidRPr="00ED73BC">
              <w:rPr>
                <w:bCs/>
                <w:sz w:val="20"/>
              </w:rPr>
              <w:t xml:space="preserve"> и </w:t>
            </w:r>
            <w:r w:rsidRPr="00ED73BC">
              <w:rPr>
                <w:bCs/>
                <w:sz w:val="20"/>
                <w:lang w:val="en-US"/>
              </w:rPr>
              <w:t>ILAC</w:t>
            </w:r>
            <w:r w:rsidRPr="00ED73BC">
              <w:rPr>
                <w:bCs/>
                <w:sz w:val="20"/>
              </w:rPr>
              <w:t xml:space="preserve"> </w:t>
            </w:r>
            <w:r w:rsidRPr="00ED73BC">
              <w:rPr>
                <w:bCs/>
                <w:sz w:val="20"/>
                <w:lang w:val="en-US"/>
              </w:rPr>
              <w:t>G</w:t>
            </w:r>
            <w:r w:rsidRPr="00ED73BC">
              <w:rPr>
                <w:bCs/>
                <w:sz w:val="20"/>
              </w:rPr>
              <w:t xml:space="preserve">21 </w:t>
            </w:r>
            <w:r w:rsidRPr="00ED73BC">
              <w:rPr>
                <w:bCs/>
                <w:i/>
                <w:iCs/>
                <w:sz w:val="20"/>
              </w:rPr>
              <w:t xml:space="preserve">(2.2.1.8 </w:t>
            </w:r>
            <w:r w:rsidRPr="00ED73BC">
              <w:rPr>
                <w:bCs/>
                <w:i/>
                <w:iCs/>
                <w:sz w:val="20"/>
                <w:lang w:val="en-US"/>
              </w:rPr>
              <w:t>IAF</w:t>
            </w:r>
            <w:r w:rsidRPr="00ED73BC">
              <w:rPr>
                <w:bCs/>
                <w:i/>
                <w:iCs/>
                <w:sz w:val="20"/>
              </w:rPr>
              <w:t>/</w:t>
            </w:r>
            <w:r w:rsidRPr="00ED73BC">
              <w:rPr>
                <w:bCs/>
                <w:i/>
                <w:iCs/>
                <w:sz w:val="20"/>
                <w:lang w:val="en-US"/>
              </w:rPr>
              <w:t>ILAC</w:t>
            </w:r>
            <w:r w:rsidRPr="00ED73BC">
              <w:rPr>
                <w:bCs/>
                <w:i/>
                <w:iCs/>
                <w:sz w:val="20"/>
              </w:rPr>
              <w:t>-</w:t>
            </w:r>
            <w:r w:rsidRPr="00ED73BC">
              <w:rPr>
                <w:bCs/>
                <w:i/>
                <w:iCs/>
                <w:sz w:val="20"/>
                <w:lang w:val="en-US"/>
              </w:rPr>
              <w:t>A</w:t>
            </w:r>
            <w:r w:rsidRPr="00ED73BC">
              <w:rPr>
                <w:bCs/>
                <w:i/>
                <w:iCs/>
                <w:sz w:val="20"/>
              </w:rPr>
              <w:t>2:01/2018)</w:t>
            </w:r>
            <w:r w:rsidRPr="00ED73BC">
              <w:rPr>
                <w:bCs/>
                <w:sz w:val="20"/>
              </w:rPr>
              <w:t>.</w:t>
            </w:r>
          </w:p>
        </w:tc>
        <w:tc>
          <w:tcPr>
            <w:tcW w:w="5030" w:type="dxa"/>
            <w:gridSpan w:val="3"/>
          </w:tcPr>
          <w:p w14:paraId="71E07FD1" w14:textId="1BA355D3" w:rsidR="007A4DDC" w:rsidRPr="00301462" w:rsidRDefault="007A4DDC" w:rsidP="007A4DDC">
            <w:pPr>
              <w:jc w:val="both"/>
              <w:rPr>
                <w:b/>
                <w:sz w:val="20"/>
              </w:rPr>
            </w:pPr>
            <w:r w:rsidRPr="00301462">
              <w:rPr>
                <w:sz w:val="20"/>
              </w:rPr>
              <w:t xml:space="preserve">П.2.2.1.8 Порядка уточнить внедрение политику Трансграничной аккредитации, что противоречит статье 54 Договора </w:t>
            </w:r>
            <w:proofErr w:type="gramStart"/>
            <w:r w:rsidRPr="00301462">
              <w:rPr>
                <w:sz w:val="20"/>
              </w:rPr>
              <w:t>ЕАЭС:  Орган</w:t>
            </w:r>
            <w:proofErr w:type="gramEnd"/>
            <w:r w:rsidRPr="00301462">
              <w:rPr>
                <w:sz w:val="20"/>
              </w:rPr>
              <w:t xml:space="preserve"> по аккредитации одного государства-члена не должен конкурировать с органами по аккредитации других государств-членов.</w:t>
            </w:r>
          </w:p>
        </w:tc>
        <w:tc>
          <w:tcPr>
            <w:tcW w:w="2551" w:type="dxa"/>
          </w:tcPr>
          <w:p w14:paraId="70FD3C6B" w14:textId="752CB43C" w:rsidR="007A4DDC" w:rsidRPr="00FB6027" w:rsidRDefault="007A4DDC" w:rsidP="007A4DDC">
            <w:pPr>
              <w:rPr>
                <w:b/>
                <w:i/>
                <w:iCs/>
                <w:sz w:val="20"/>
              </w:rPr>
            </w:pPr>
            <w:r w:rsidRPr="00FB6027">
              <w:rPr>
                <w:i/>
                <w:iCs/>
                <w:sz w:val="20"/>
              </w:rPr>
              <w:t>Требуется дополнительное пояснение кыргызской стороны и обсуждение в рамках очередного заседания</w:t>
            </w:r>
          </w:p>
        </w:tc>
        <w:tc>
          <w:tcPr>
            <w:tcW w:w="2126" w:type="dxa"/>
          </w:tcPr>
          <w:p w14:paraId="4C94646B" w14:textId="271F25E3" w:rsidR="007A4DDC" w:rsidRPr="00DA0043" w:rsidRDefault="007A4DDC" w:rsidP="007A4DDC">
            <w:pPr>
              <w:jc w:val="center"/>
              <w:rPr>
                <w:b/>
                <w:sz w:val="22"/>
                <w:szCs w:val="22"/>
              </w:rPr>
            </w:pPr>
          </w:p>
        </w:tc>
      </w:tr>
      <w:tr w:rsidR="007A4DDC" w:rsidRPr="00D1407F" w14:paraId="11B72C34" w14:textId="77777777" w:rsidTr="00E34347">
        <w:trPr>
          <w:trHeight w:val="461"/>
        </w:trPr>
        <w:tc>
          <w:tcPr>
            <w:tcW w:w="5030" w:type="dxa"/>
            <w:gridSpan w:val="4"/>
          </w:tcPr>
          <w:p w14:paraId="43E2564F" w14:textId="08FAB596" w:rsidR="007A4DDC" w:rsidRPr="00ED73BC" w:rsidRDefault="00ED73BC" w:rsidP="007A4DDC">
            <w:pPr>
              <w:rPr>
                <w:bCs/>
                <w:sz w:val="22"/>
                <w:szCs w:val="22"/>
              </w:rPr>
            </w:pPr>
            <w:r w:rsidRPr="00ED73BC">
              <w:rPr>
                <w:bCs/>
                <w:sz w:val="22"/>
                <w:szCs w:val="22"/>
              </w:rPr>
              <w:t>2.3.2</w:t>
            </w:r>
            <w:r w:rsidRPr="00ED73BC">
              <w:rPr>
                <w:bCs/>
                <w:sz w:val="22"/>
                <w:szCs w:val="22"/>
              </w:rPr>
              <w:tab/>
              <w:t>Уведомление об изменениях</w:t>
            </w:r>
          </w:p>
        </w:tc>
        <w:tc>
          <w:tcPr>
            <w:tcW w:w="5030" w:type="dxa"/>
            <w:gridSpan w:val="3"/>
          </w:tcPr>
          <w:p w14:paraId="66DB515A" w14:textId="64203992" w:rsidR="007A4DDC" w:rsidRPr="00301462" w:rsidRDefault="007A4DDC" w:rsidP="007A4DDC">
            <w:pPr>
              <w:jc w:val="both"/>
              <w:rPr>
                <w:sz w:val="20"/>
              </w:rPr>
            </w:pPr>
            <w:r w:rsidRPr="00301462">
              <w:rPr>
                <w:sz w:val="20"/>
              </w:rPr>
              <w:t>П.2.3.2 Порядка заменить на п. 2.2.2 (см. идентификацию его подпунктов);</w:t>
            </w:r>
          </w:p>
          <w:p w14:paraId="074E702E" w14:textId="6531D5C2" w:rsidR="007A4DDC" w:rsidRPr="00301462" w:rsidRDefault="007A4DDC" w:rsidP="007A4DDC">
            <w:pPr>
              <w:rPr>
                <w:b/>
                <w:sz w:val="20"/>
              </w:rPr>
            </w:pPr>
          </w:p>
        </w:tc>
        <w:tc>
          <w:tcPr>
            <w:tcW w:w="2551" w:type="dxa"/>
          </w:tcPr>
          <w:p w14:paraId="34262AD2" w14:textId="4C61D4B2" w:rsidR="007A4DDC" w:rsidRPr="00FB6027" w:rsidRDefault="007A4DDC" w:rsidP="007A4DDC">
            <w:pPr>
              <w:rPr>
                <w:b/>
                <w:i/>
                <w:iCs/>
                <w:sz w:val="20"/>
              </w:rPr>
            </w:pPr>
            <w:r w:rsidRPr="00FB6027">
              <w:rPr>
                <w:i/>
                <w:iCs/>
                <w:sz w:val="20"/>
              </w:rPr>
              <w:t>Принято разработчиком.</w:t>
            </w:r>
          </w:p>
        </w:tc>
        <w:tc>
          <w:tcPr>
            <w:tcW w:w="2126" w:type="dxa"/>
          </w:tcPr>
          <w:p w14:paraId="67325A18" w14:textId="3E03D599" w:rsidR="007A4DDC" w:rsidRPr="00DA0043" w:rsidRDefault="007A4DDC" w:rsidP="007A4DDC">
            <w:pPr>
              <w:jc w:val="center"/>
              <w:rPr>
                <w:b/>
                <w:sz w:val="22"/>
                <w:szCs w:val="22"/>
              </w:rPr>
            </w:pPr>
          </w:p>
        </w:tc>
      </w:tr>
      <w:tr w:rsidR="007A4DDC" w:rsidRPr="00D1407F" w14:paraId="69959F13" w14:textId="77777777" w:rsidTr="00E34347">
        <w:trPr>
          <w:trHeight w:val="461"/>
        </w:trPr>
        <w:tc>
          <w:tcPr>
            <w:tcW w:w="5030" w:type="dxa"/>
            <w:gridSpan w:val="4"/>
          </w:tcPr>
          <w:p w14:paraId="71EE7CAC" w14:textId="2D877F9F" w:rsidR="007A4DDC" w:rsidRPr="00ED73BC" w:rsidRDefault="00ED73BC" w:rsidP="007A4DDC">
            <w:pPr>
              <w:jc w:val="both"/>
              <w:rPr>
                <w:b/>
                <w:sz w:val="20"/>
              </w:rPr>
            </w:pPr>
            <w:r w:rsidRPr="00ED73BC">
              <w:rPr>
                <w:bCs/>
                <w:sz w:val="20"/>
              </w:rPr>
              <w:t>2.2.2.4</w:t>
            </w:r>
            <w:r w:rsidRPr="00ED73BC">
              <w:rPr>
                <w:bCs/>
                <w:sz w:val="20"/>
              </w:rPr>
              <w:tab/>
              <w:t xml:space="preserve">Совет ЕААС по Договоренности </w:t>
            </w:r>
            <w:r w:rsidRPr="00ED73BC">
              <w:rPr>
                <w:bCs/>
                <w:color w:val="FF0000"/>
                <w:sz w:val="20"/>
              </w:rPr>
              <w:t>(необходимость создания Советом специальной рабочей группы по рассмотрению изменений – на обсуждение РГ)</w:t>
            </w:r>
            <w:r w:rsidRPr="00ED73BC">
              <w:rPr>
                <w:bCs/>
                <w:sz w:val="20"/>
              </w:rPr>
              <w:t xml:space="preserve"> по представлению Секретариата ЕААС должен рассмотреть уведомление об изменении и определить, продолжает ли орган по аккредитации соответствовать требованиям ISO/IEC 17011 и Договоренности ЕААС. Совет ЕААС по Договоренности может решить, что анализ влияния не требует каких-либо дальнейших действий, о чем Секретариат ЕААС информирует орган по аккредитации, представивший уведомление об изменении.</w:t>
            </w:r>
          </w:p>
        </w:tc>
        <w:tc>
          <w:tcPr>
            <w:tcW w:w="5030" w:type="dxa"/>
            <w:gridSpan w:val="3"/>
          </w:tcPr>
          <w:p w14:paraId="3B27866E" w14:textId="0F22A162" w:rsidR="007A4DDC" w:rsidRPr="00301462" w:rsidRDefault="007A4DDC" w:rsidP="00C5549A">
            <w:pPr>
              <w:jc w:val="both"/>
              <w:rPr>
                <w:b/>
                <w:sz w:val="20"/>
              </w:rPr>
            </w:pPr>
            <w:r w:rsidRPr="00301462">
              <w:rPr>
                <w:sz w:val="20"/>
              </w:rPr>
              <w:t xml:space="preserve">П.2.2.2.4 Порядка изложить в следующей редакции: «Органы по аккредитации, полноправные члены - </w:t>
            </w:r>
            <w:proofErr w:type="gramStart"/>
            <w:r w:rsidRPr="00301462">
              <w:rPr>
                <w:sz w:val="20"/>
              </w:rPr>
              <w:t>подписанты  Договоренности</w:t>
            </w:r>
            <w:proofErr w:type="gramEnd"/>
            <w:r w:rsidRPr="00301462">
              <w:rPr>
                <w:sz w:val="20"/>
              </w:rPr>
              <w:t xml:space="preserve"> ЕААС по представлению Секретариата ЕААС должны рассмотреть уведомление об изменении и определить, продолжает ли орган по аккредитации соответствовать требованиям ISO/IEC 17011 и Договоренности ЕААС. Совет ЕААС по Договоренности,   рассмотрев  мнений - заключений, представленных  органами по аккредитации ЕААС, может решить, что анализ влияния не требует каких-либо дальнейших действий, о чем Секретариат ЕААС информирует орган по аккредитации, представивший уведомление об изменении»- аналогично опыту АРАС, и это обеспечит объективность и исключение создания дополнительных рабочих групп, которые требуют дополнительных ресурсов, включая время;</w:t>
            </w:r>
          </w:p>
        </w:tc>
        <w:tc>
          <w:tcPr>
            <w:tcW w:w="2551" w:type="dxa"/>
          </w:tcPr>
          <w:p w14:paraId="0103422D" w14:textId="5E87EC64" w:rsidR="007A4DDC" w:rsidRPr="00FB6027" w:rsidRDefault="007A4DDC" w:rsidP="007A4DDC">
            <w:pPr>
              <w:rPr>
                <w:b/>
                <w:i/>
                <w:iCs/>
                <w:sz w:val="20"/>
              </w:rPr>
            </w:pPr>
            <w:r w:rsidRPr="00FB6027">
              <w:rPr>
                <w:i/>
                <w:iCs/>
                <w:sz w:val="20"/>
              </w:rPr>
              <w:t>Предлагаем обсудить в рамках очередного заседания совместно с предложением казахстанской стороны.</w:t>
            </w:r>
          </w:p>
        </w:tc>
        <w:tc>
          <w:tcPr>
            <w:tcW w:w="2126" w:type="dxa"/>
          </w:tcPr>
          <w:p w14:paraId="765D04FF" w14:textId="374584C5" w:rsidR="007A4DDC" w:rsidRPr="00DA0043" w:rsidRDefault="007A4DDC" w:rsidP="007A4DDC">
            <w:pPr>
              <w:jc w:val="center"/>
              <w:rPr>
                <w:b/>
                <w:sz w:val="22"/>
                <w:szCs w:val="22"/>
              </w:rPr>
            </w:pPr>
          </w:p>
        </w:tc>
      </w:tr>
      <w:tr w:rsidR="007A4DDC" w:rsidRPr="00D1407F" w14:paraId="0D862DC0" w14:textId="77777777" w:rsidTr="00ED73BC">
        <w:trPr>
          <w:trHeight w:val="1373"/>
        </w:trPr>
        <w:tc>
          <w:tcPr>
            <w:tcW w:w="5030" w:type="dxa"/>
            <w:gridSpan w:val="4"/>
          </w:tcPr>
          <w:p w14:paraId="7033B17B" w14:textId="796C00DE" w:rsidR="007A4DDC" w:rsidRPr="00ED73BC" w:rsidRDefault="00ED73BC" w:rsidP="007A4DDC">
            <w:pPr>
              <w:overflowPunct/>
              <w:autoSpaceDE/>
              <w:autoSpaceDN/>
              <w:adjustRightInd/>
              <w:spacing w:after="200" w:line="276" w:lineRule="auto"/>
              <w:jc w:val="both"/>
              <w:rPr>
                <w:b/>
                <w:sz w:val="20"/>
              </w:rPr>
            </w:pPr>
            <w:r w:rsidRPr="00ED73BC">
              <w:rPr>
                <w:bCs/>
                <w:i/>
                <w:iCs/>
                <w:sz w:val="20"/>
              </w:rPr>
              <w:t xml:space="preserve">4.1 Примечание 2: компетентность </w:t>
            </w:r>
            <w:proofErr w:type="gramStart"/>
            <w:r w:rsidRPr="00ED73BC">
              <w:rPr>
                <w:bCs/>
                <w:i/>
                <w:iCs/>
                <w:sz w:val="20"/>
              </w:rPr>
              <w:t>группы по паритетной оценке</w:t>
            </w:r>
            <w:proofErr w:type="gramEnd"/>
            <w:r w:rsidRPr="00ED73BC">
              <w:rPr>
                <w:bCs/>
                <w:i/>
                <w:iCs/>
                <w:sz w:val="20"/>
              </w:rPr>
              <w:t xml:space="preserve"> должна в совокупности соответствовать уровням 1-4 Договоренности ЕААС и области деятельности, заявляемой для паритетной оценки.</w:t>
            </w:r>
          </w:p>
        </w:tc>
        <w:tc>
          <w:tcPr>
            <w:tcW w:w="5030" w:type="dxa"/>
            <w:gridSpan w:val="3"/>
          </w:tcPr>
          <w:p w14:paraId="2C04803C" w14:textId="7B47AFFA" w:rsidR="007A4DDC" w:rsidRPr="00301462" w:rsidRDefault="007A4DDC" w:rsidP="00C5549A">
            <w:pPr>
              <w:overflowPunct/>
              <w:autoSpaceDE/>
              <w:autoSpaceDN/>
              <w:adjustRightInd/>
              <w:spacing w:after="200"/>
              <w:jc w:val="both"/>
              <w:rPr>
                <w:b/>
                <w:sz w:val="20"/>
              </w:rPr>
            </w:pPr>
            <w:r w:rsidRPr="00301462">
              <w:rPr>
                <w:sz w:val="20"/>
                <w:lang w:eastAsia="en-US"/>
              </w:rPr>
              <w:t>П.4.1 Порядка, примечание 2, уточнить, что за уровни 1-4 Договоренности?</w:t>
            </w:r>
          </w:p>
        </w:tc>
        <w:tc>
          <w:tcPr>
            <w:tcW w:w="2551" w:type="dxa"/>
          </w:tcPr>
          <w:p w14:paraId="4559AEAE" w14:textId="6103C9CA" w:rsidR="007A4DDC" w:rsidRPr="00FB6027" w:rsidRDefault="007A4DDC" w:rsidP="007A4DDC">
            <w:pPr>
              <w:rPr>
                <w:b/>
                <w:i/>
                <w:iCs/>
                <w:sz w:val="20"/>
              </w:rPr>
            </w:pPr>
            <w:r w:rsidRPr="00FB6027">
              <w:rPr>
                <w:i/>
                <w:iCs/>
                <w:sz w:val="20"/>
              </w:rPr>
              <w:t>Предлагаем обсудить в рамках очередного заседания</w:t>
            </w:r>
          </w:p>
        </w:tc>
        <w:tc>
          <w:tcPr>
            <w:tcW w:w="2126" w:type="dxa"/>
          </w:tcPr>
          <w:p w14:paraId="43B83997" w14:textId="750E6C32" w:rsidR="007A4DDC" w:rsidRPr="00DA0043" w:rsidRDefault="007A4DDC" w:rsidP="007A4DDC">
            <w:pPr>
              <w:jc w:val="center"/>
              <w:rPr>
                <w:b/>
                <w:sz w:val="22"/>
                <w:szCs w:val="22"/>
              </w:rPr>
            </w:pPr>
          </w:p>
        </w:tc>
      </w:tr>
      <w:tr w:rsidR="007A4DDC" w:rsidRPr="00D1407F" w14:paraId="410514E1" w14:textId="77777777" w:rsidTr="00E34347">
        <w:trPr>
          <w:trHeight w:val="461"/>
        </w:trPr>
        <w:tc>
          <w:tcPr>
            <w:tcW w:w="5030" w:type="dxa"/>
            <w:gridSpan w:val="4"/>
          </w:tcPr>
          <w:p w14:paraId="1E1DAF58" w14:textId="02A3468F" w:rsidR="007A4DDC" w:rsidRPr="005A7B64" w:rsidRDefault="00ED73BC" w:rsidP="007A4DDC">
            <w:pPr>
              <w:jc w:val="both"/>
              <w:rPr>
                <w:sz w:val="20"/>
                <w:lang w:eastAsia="en-US"/>
              </w:rPr>
            </w:pPr>
            <w:r w:rsidRPr="005A7B64">
              <w:rPr>
                <w:bCs/>
                <w:sz w:val="20"/>
              </w:rPr>
              <w:t xml:space="preserve">4.3 в) следует избегать назначения руководителем группы представителя органа по аккредитации, относительно недавно прошедшего паритетную оценку под руководством оценщика из органа по аккредитации, заявляющегося на паритетную оценку; </w:t>
            </w:r>
            <w:r w:rsidRPr="005A7B64">
              <w:rPr>
                <w:bCs/>
                <w:i/>
                <w:iCs/>
                <w:sz w:val="20"/>
              </w:rPr>
              <w:t>на обсуждение членов РГ – насколько возможно реализовать данное положение в ЕААС?</w:t>
            </w:r>
          </w:p>
        </w:tc>
        <w:tc>
          <w:tcPr>
            <w:tcW w:w="5030" w:type="dxa"/>
            <w:gridSpan w:val="3"/>
          </w:tcPr>
          <w:p w14:paraId="6F95D4B2" w14:textId="19D8AD60" w:rsidR="007A4DDC" w:rsidRPr="00301462" w:rsidRDefault="007A4DDC" w:rsidP="00C5549A">
            <w:pPr>
              <w:jc w:val="both"/>
              <w:rPr>
                <w:sz w:val="20"/>
                <w:lang w:eastAsia="en-US"/>
              </w:rPr>
            </w:pPr>
            <w:r w:rsidRPr="00301462">
              <w:rPr>
                <w:sz w:val="20"/>
              </w:rPr>
              <w:t xml:space="preserve">П.4.3в Порядка оставить в </w:t>
            </w:r>
            <w:proofErr w:type="gramStart"/>
            <w:r w:rsidRPr="00301462">
              <w:rPr>
                <w:sz w:val="20"/>
              </w:rPr>
              <w:t>представленной  редакции</w:t>
            </w:r>
            <w:proofErr w:type="gramEnd"/>
            <w:r w:rsidRPr="00301462">
              <w:rPr>
                <w:sz w:val="20"/>
              </w:rPr>
              <w:t xml:space="preserve">, так как это создаст условие для обеспечения беспристрастности, независимости; </w:t>
            </w:r>
          </w:p>
        </w:tc>
        <w:tc>
          <w:tcPr>
            <w:tcW w:w="2551" w:type="dxa"/>
          </w:tcPr>
          <w:p w14:paraId="38D64BB1" w14:textId="3B37F70A" w:rsidR="007A4DDC" w:rsidRPr="00FB6027" w:rsidRDefault="007A4DDC" w:rsidP="007A4DDC">
            <w:pPr>
              <w:rPr>
                <w:b/>
                <w:i/>
                <w:iCs/>
                <w:sz w:val="20"/>
              </w:rPr>
            </w:pPr>
            <w:r w:rsidRPr="00FB6027">
              <w:rPr>
                <w:i/>
                <w:iCs/>
                <w:sz w:val="20"/>
              </w:rPr>
              <w:t xml:space="preserve">Уровни в соответствии с документами IAF PR 4 и ILAC R6. </w:t>
            </w:r>
          </w:p>
        </w:tc>
        <w:tc>
          <w:tcPr>
            <w:tcW w:w="2126" w:type="dxa"/>
          </w:tcPr>
          <w:p w14:paraId="620DA879" w14:textId="1C8F199D" w:rsidR="007A4DDC" w:rsidRPr="00DA0043" w:rsidRDefault="007A4DDC" w:rsidP="007A4DDC">
            <w:pPr>
              <w:jc w:val="center"/>
              <w:rPr>
                <w:b/>
                <w:sz w:val="22"/>
                <w:szCs w:val="22"/>
              </w:rPr>
            </w:pPr>
          </w:p>
        </w:tc>
      </w:tr>
      <w:tr w:rsidR="007A4DDC" w:rsidRPr="00D1407F" w14:paraId="20B62C40" w14:textId="77777777" w:rsidTr="00E34347">
        <w:trPr>
          <w:trHeight w:val="461"/>
        </w:trPr>
        <w:tc>
          <w:tcPr>
            <w:tcW w:w="5030" w:type="dxa"/>
            <w:gridSpan w:val="4"/>
          </w:tcPr>
          <w:p w14:paraId="5EDD201D" w14:textId="0996D5B5" w:rsidR="007A4DDC" w:rsidRPr="005A7B64" w:rsidRDefault="005A7B64" w:rsidP="007A4DDC">
            <w:pPr>
              <w:tabs>
                <w:tab w:val="left" w:pos="1065"/>
              </w:tabs>
              <w:jc w:val="both"/>
              <w:rPr>
                <w:sz w:val="20"/>
              </w:rPr>
            </w:pPr>
            <w:r w:rsidRPr="005A7B64">
              <w:rPr>
                <w:bCs/>
                <w:sz w:val="20"/>
              </w:rPr>
              <w:t>4.6 д) в группу по оценке допускается включить не более двух наблюдателей по предварительному согласованию с оцениваемым органом по аккредитации. К наблюдателям относятся в том числе представители органов государственного управления, представители иной региональной организации по аккредитации, осуществляющие оценку деятельности ЕААС.</w:t>
            </w:r>
          </w:p>
        </w:tc>
        <w:tc>
          <w:tcPr>
            <w:tcW w:w="5030" w:type="dxa"/>
            <w:gridSpan w:val="3"/>
          </w:tcPr>
          <w:p w14:paraId="42ADB82C" w14:textId="51A063C0" w:rsidR="007A4DDC" w:rsidRPr="00301462" w:rsidRDefault="007A4DDC" w:rsidP="00C5549A">
            <w:pPr>
              <w:tabs>
                <w:tab w:val="left" w:pos="1065"/>
              </w:tabs>
              <w:jc w:val="both"/>
              <w:rPr>
                <w:sz w:val="20"/>
              </w:rPr>
            </w:pPr>
            <w:r w:rsidRPr="00301462">
              <w:rPr>
                <w:sz w:val="20"/>
              </w:rPr>
              <w:t>П.4.6 д   Порядка дополнительно установить правила покрытия расходов наблюдателей (представители органов государственного управления, представители иной региональной организации по аккредитации, осуществляющие оценку деятельности ЕААС</w:t>
            </w:r>
            <w:proofErr w:type="gramStart"/>
            <w:r w:rsidRPr="00301462">
              <w:rPr>
                <w:sz w:val="20"/>
              </w:rPr>
              <w:t>),</w:t>
            </w:r>
            <w:r w:rsidR="00C5549A" w:rsidRPr="00301462">
              <w:rPr>
                <w:sz w:val="20"/>
              </w:rPr>
              <w:t xml:space="preserve"> </w:t>
            </w:r>
            <w:r w:rsidRPr="00301462">
              <w:rPr>
                <w:sz w:val="20"/>
              </w:rPr>
              <w:t xml:space="preserve">  </w:t>
            </w:r>
            <w:proofErr w:type="gramEnd"/>
            <w:r w:rsidRPr="00301462">
              <w:rPr>
                <w:sz w:val="20"/>
              </w:rPr>
              <w:t xml:space="preserve">включенные в группу по оценке по предварительному согласованию с оцениваемым органом по аккредитации; </w:t>
            </w:r>
          </w:p>
          <w:p w14:paraId="1E7C731F" w14:textId="442BC97A" w:rsidR="007A4DDC" w:rsidRPr="00301462" w:rsidRDefault="007A4DDC" w:rsidP="00C5549A">
            <w:pPr>
              <w:tabs>
                <w:tab w:val="left" w:pos="1065"/>
              </w:tabs>
              <w:jc w:val="both"/>
              <w:rPr>
                <w:sz w:val="20"/>
              </w:rPr>
            </w:pPr>
          </w:p>
        </w:tc>
        <w:tc>
          <w:tcPr>
            <w:tcW w:w="2551" w:type="dxa"/>
          </w:tcPr>
          <w:p w14:paraId="67DF982C" w14:textId="5D228792" w:rsidR="007A4DDC" w:rsidRPr="00FB6027" w:rsidRDefault="007A4DDC" w:rsidP="007A4DDC">
            <w:pPr>
              <w:tabs>
                <w:tab w:val="left" w:pos="14092"/>
              </w:tabs>
              <w:ind w:left="-108"/>
              <w:rPr>
                <w:bCs/>
                <w:i/>
                <w:iCs/>
                <w:sz w:val="20"/>
              </w:rPr>
            </w:pPr>
            <w:r w:rsidRPr="00FB6027">
              <w:rPr>
                <w:bCs/>
                <w:i/>
                <w:iCs/>
                <w:sz w:val="20"/>
              </w:rPr>
              <w:t>Предлагаем обсудить в рамках очередного заседания</w:t>
            </w:r>
          </w:p>
          <w:p w14:paraId="1882994F" w14:textId="77777777" w:rsidR="007A4DDC" w:rsidRPr="00FB6027" w:rsidRDefault="007A4DDC" w:rsidP="007A4DDC">
            <w:pPr>
              <w:rPr>
                <w:b/>
                <w:sz w:val="20"/>
              </w:rPr>
            </w:pPr>
          </w:p>
        </w:tc>
        <w:tc>
          <w:tcPr>
            <w:tcW w:w="2126" w:type="dxa"/>
          </w:tcPr>
          <w:p w14:paraId="27591CE4" w14:textId="10228CDC" w:rsidR="007A4DDC" w:rsidRPr="00DA0043" w:rsidRDefault="007A4DDC" w:rsidP="007A4DDC">
            <w:pPr>
              <w:jc w:val="center"/>
              <w:rPr>
                <w:b/>
                <w:sz w:val="22"/>
                <w:szCs w:val="22"/>
              </w:rPr>
            </w:pPr>
          </w:p>
        </w:tc>
      </w:tr>
      <w:tr w:rsidR="007A4DDC" w:rsidRPr="00D1407F" w14:paraId="0E753489" w14:textId="77777777" w:rsidTr="00E34347">
        <w:trPr>
          <w:trHeight w:val="461"/>
        </w:trPr>
        <w:tc>
          <w:tcPr>
            <w:tcW w:w="5030" w:type="dxa"/>
            <w:gridSpan w:val="4"/>
          </w:tcPr>
          <w:p w14:paraId="6427F6E9" w14:textId="77777777" w:rsidR="005A7B64" w:rsidRPr="005A7B64" w:rsidRDefault="005A7B64" w:rsidP="005A7B64">
            <w:pPr>
              <w:jc w:val="both"/>
              <w:rPr>
                <w:bCs/>
                <w:sz w:val="20"/>
              </w:rPr>
            </w:pPr>
            <w:r w:rsidRPr="005A7B64">
              <w:rPr>
                <w:bCs/>
                <w:sz w:val="20"/>
              </w:rPr>
              <w:t>4.9</w:t>
            </w:r>
            <w:r w:rsidRPr="005A7B64">
              <w:rPr>
                <w:bCs/>
                <w:sz w:val="20"/>
              </w:rPr>
              <w:tab/>
              <w:t xml:space="preserve">Руководитель группы наделяется полномочиями по принятию решений </w:t>
            </w:r>
            <w:proofErr w:type="gramStart"/>
            <w:r w:rsidRPr="005A7B64">
              <w:rPr>
                <w:bCs/>
                <w:sz w:val="20"/>
              </w:rPr>
              <w:t>для проведению</w:t>
            </w:r>
            <w:proofErr w:type="gramEnd"/>
            <w:r w:rsidRPr="005A7B64">
              <w:rPr>
                <w:bCs/>
                <w:sz w:val="20"/>
              </w:rPr>
              <w:t xml:space="preserve"> оценки в установленный срок и в соответствии с настоящим порядком. В частности, руководитель группы несет ответственность за все этапы проведения паритетной оценки, включая:</w:t>
            </w:r>
          </w:p>
          <w:p w14:paraId="73093B10" w14:textId="6C38440D" w:rsidR="007A4DDC" w:rsidRPr="006753BF" w:rsidRDefault="005A7B64" w:rsidP="005A7B64">
            <w:pPr>
              <w:tabs>
                <w:tab w:val="left" w:pos="1065"/>
              </w:tabs>
              <w:jc w:val="both"/>
              <w:rPr>
                <w:sz w:val="24"/>
                <w:szCs w:val="24"/>
              </w:rPr>
            </w:pPr>
            <w:r w:rsidRPr="005A7B64">
              <w:rPr>
                <w:bCs/>
                <w:sz w:val="20"/>
              </w:rPr>
              <w:t>-</w:t>
            </w:r>
            <w:r w:rsidRPr="005A7B64">
              <w:rPr>
                <w:bCs/>
                <w:sz w:val="20"/>
              </w:rPr>
              <w:tab/>
              <w:t xml:space="preserve">выбор членов </w:t>
            </w:r>
            <w:proofErr w:type="gramStart"/>
            <w:r w:rsidRPr="005A7B64">
              <w:rPr>
                <w:bCs/>
                <w:sz w:val="20"/>
              </w:rPr>
              <w:t>группы по паритетной оценке</w:t>
            </w:r>
            <w:proofErr w:type="gramEnd"/>
            <w:r w:rsidRPr="005A7B64">
              <w:rPr>
                <w:bCs/>
                <w:sz w:val="20"/>
              </w:rPr>
              <w:t>;</w:t>
            </w:r>
          </w:p>
        </w:tc>
        <w:tc>
          <w:tcPr>
            <w:tcW w:w="5030" w:type="dxa"/>
            <w:gridSpan w:val="3"/>
          </w:tcPr>
          <w:p w14:paraId="1D7F3A2A" w14:textId="061CF6CC" w:rsidR="007A4DDC" w:rsidRPr="00301462" w:rsidRDefault="007A4DDC" w:rsidP="00C5549A">
            <w:pPr>
              <w:tabs>
                <w:tab w:val="left" w:pos="1065"/>
              </w:tabs>
              <w:jc w:val="both"/>
              <w:rPr>
                <w:sz w:val="20"/>
              </w:rPr>
            </w:pPr>
            <w:r w:rsidRPr="00301462">
              <w:rPr>
                <w:sz w:val="20"/>
              </w:rPr>
              <w:t xml:space="preserve">П.4.9, абзац 2 Порядка изложить в следующей редакции: «- за своевременность внесения предложений по выбору членов </w:t>
            </w:r>
            <w:proofErr w:type="gramStart"/>
            <w:r w:rsidRPr="00301462">
              <w:rPr>
                <w:sz w:val="20"/>
              </w:rPr>
              <w:t>группы по паритетной оценке</w:t>
            </w:r>
            <w:proofErr w:type="gramEnd"/>
            <w:r w:rsidRPr="00301462">
              <w:rPr>
                <w:sz w:val="20"/>
              </w:rPr>
              <w:t>»;</w:t>
            </w:r>
          </w:p>
          <w:p w14:paraId="43299A96" w14:textId="1B498C51" w:rsidR="007A4DDC" w:rsidRPr="00301462" w:rsidRDefault="007A4DDC" w:rsidP="00C5549A">
            <w:pPr>
              <w:tabs>
                <w:tab w:val="left" w:pos="1065"/>
              </w:tabs>
              <w:jc w:val="both"/>
              <w:rPr>
                <w:sz w:val="20"/>
              </w:rPr>
            </w:pPr>
          </w:p>
        </w:tc>
        <w:tc>
          <w:tcPr>
            <w:tcW w:w="2551" w:type="dxa"/>
          </w:tcPr>
          <w:p w14:paraId="3D09727E" w14:textId="14D18CB9" w:rsidR="007A4DDC" w:rsidRPr="00FB6027" w:rsidRDefault="007A4DDC" w:rsidP="007A4DDC">
            <w:pPr>
              <w:tabs>
                <w:tab w:val="left" w:pos="14092"/>
              </w:tabs>
              <w:ind w:left="-108"/>
              <w:rPr>
                <w:bCs/>
                <w:i/>
                <w:iCs/>
                <w:sz w:val="20"/>
              </w:rPr>
            </w:pPr>
            <w:r w:rsidRPr="00FB6027">
              <w:rPr>
                <w:bCs/>
                <w:i/>
                <w:iCs/>
                <w:sz w:val="20"/>
              </w:rPr>
              <w:t>Предлагаем обсудить в рамках очередного заседания</w:t>
            </w:r>
          </w:p>
          <w:p w14:paraId="691E05D3" w14:textId="77777777" w:rsidR="007A4DDC" w:rsidRPr="00FB6027" w:rsidRDefault="007A4DDC" w:rsidP="007A4DDC">
            <w:pPr>
              <w:rPr>
                <w:b/>
                <w:sz w:val="20"/>
              </w:rPr>
            </w:pPr>
          </w:p>
        </w:tc>
        <w:tc>
          <w:tcPr>
            <w:tcW w:w="2126" w:type="dxa"/>
          </w:tcPr>
          <w:p w14:paraId="2E1C4AFA" w14:textId="654026D1" w:rsidR="007A4DDC" w:rsidRPr="00DA0043" w:rsidRDefault="007A4DDC" w:rsidP="007A4DDC">
            <w:pPr>
              <w:jc w:val="center"/>
              <w:rPr>
                <w:b/>
                <w:sz w:val="22"/>
                <w:szCs w:val="22"/>
              </w:rPr>
            </w:pPr>
          </w:p>
        </w:tc>
      </w:tr>
      <w:tr w:rsidR="005A7B64" w:rsidRPr="00D1407F" w14:paraId="4BF9D4AB" w14:textId="77777777" w:rsidTr="00E34347">
        <w:trPr>
          <w:trHeight w:val="461"/>
        </w:trPr>
        <w:tc>
          <w:tcPr>
            <w:tcW w:w="5030" w:type="dxa"/>
            <w:gridSpan w:val="4"/>
          </w:tcPr>
          <w:p w14:paraId="718A8E59" w14:textId="77777777" w:rsidR="005A7B64" w:rsidRPr="005A7B64" w:rsidRDefault="005A7B64" w:rsidP="005A7B64">
            <w:pPr>
              <w:jc w:val="both"/>
              <w:rPr>
                <w:bCs/>
                <w:sz w:val="20"/>
              </w:rPr>
            </w:pPr>
            <w:r w:rsidRPr="005A7B64">
              <w:rPr>
                <w:bCs/>
                <w:sz w:val="20"/>
              </w:rPr>
              <w:t>6.4</w:t>
            </w:r>
            <w:r w:rsidRPr="005A7B64">
              <w:rPr>
                <w:bCs/>
                <w:sz w:val="20"/>
              </w:rPr>
              <w:tab/>
              <w:t xml:space="preserve">Длительность предварительной оценки, как правило, не должна превышать 3 дней. Рекомендуемый план предварительной оценки представлен в приложении </w:t>
            </w:r>
            <w:r w:rsidRPr="005A7B64">
              <w:rPr>
                <w:bCs/>
                <w:sz w:val="20"/>
                <w:highlight w:val="yellow"/>
              </w:rPr>
              <w:t>________________ (табличка с разбивкой по дням)</w:t>
            </w:r>
            <w:r w:rsidRPr="005A7B64">
              <w:rPr>
                <w:bCs/>
                <w:sz w:val="20"/>
              </w:rPr>
              <w:t>.</w:t>
            </w:r>
          </w:p>
          <w:p w14:paraId="6B83D3CE" w14:textId="77777777" w:rsidR="005A7B64" w:rsidRPr="005A7B64" w:rsidRDefault="005A7B64" w:rsidP="005A7B64">
            <w:pPr>
              <w:jc w:val="both"/>
              <w:rPr>
                <w:bCs/>
                <w:sz w:val="20"/>
              </w:rPr>
            </w:pPr>
          </w:p>
          <w:p w14:paraId="3B618032" w14:textId="77777777" w:rsidR="005A7B64" w:rsidRPr="005A7B64" w:rsidRDefault="005A7B64" w:rsidP="005A7B64">
            <w:pPr>
              <w:jc w:val="both"/>
              <w:rPr>
                <w:bCs/>
                <w:sz w:val="20"/>
              </w:rPr>
            </w:pPr>
          </w:p>
          <w:p w14:paraId="267FC978" w14:textId="77777777" w:rsidR="005A7B64" w:rsidRPr="005A7B64" w:rsidRDefault="005A7B64" w:rsidP="005A7B64">
            <w:pPr>
              <w:jc w:val="both"/>
              <w:rPr>
                <w:bCs/>
                <w:sz w:val="20"/>
              </w:rPr>
            </w:pPr>
          </w:p>
          <w:p w14:paraId="0F60C921" w14:textId="77777777" w:rsidR="005A7B64" w:rsidRPr="005A7B64" w:rsidRDefault="005A7B64" w:rsidP="005A7B64">
            <w:pPr>
              <w:jc w:val="both"/>
              <w:rPr>
                <w:bCs/>
                <w:sz w:val="20"/>
              </w:rPr>
            </w:pPr>
          </w:p>
          <w:p w14:paraId="0F10A3E0" w14:textId="6E99DF70" w:rsidR="005A7B64" w:rsidRDefault="005A7B64" w:rsidP="005A7B64">
            <w:pPr>
              <w:jc w:val="both"/>
              <w:rPr>
                <w:bCs/>
                <w:sz w:val="20"/>
              </w:rPr>
            </w:pPr>
          </w:p>
          <w:p w14:paraId="201DB45D" w14:textId="77777777" w:rsidR="005A7B64" w:rsidRPr="005A7B64" w:rsidRDefault="005A7B64" w:rsidP="005A7B64">
            <w:pPr>
              <w:jc w:val="both"/>
              <w:rPr>
                <w:bCs/>
                <w:sz w:val="20"/>
              </w:rPr>
            </w:pPr>
          </w:p>
          <w:p w14:paraId="0C6B7449" w14:textId="77777777" w:rsidR="005A7B64" w:rsidRPr="005A7B64" w:rsidRDefault="005A7B64" w:rsidP="005A7B64">
            <w:pPr>
              <w:pStyle w:val="aa"/>
              <w:numPr>
                <w:ilvl w:val="1"/>
                <w:numId w:val="20"/>
              </w:numPr>
              <w:tabs>
                <w:tab w:val="left" w:pos="343"/>
              </w:tabs>
              <w:overflowPunct/>
              <w:autoSpaceDE/>
              <w:autoSpaceDN/>
              <w:adjustRightInd/>
              <w:ind w:right="32"/>
              <w:contextualSpacing w:val="0"/>
              <w:jc w:val="both"/>
              <w:rPr>
                <w:sz w:val="20"/>
              </w:rPr>
            </w:pPr>
            <w:r w:rsidRPr="005A7B64">
              <w:rPr>
                <w:sz w:val="20"/>
              </w:rPr>
              <w:t>Срок предоставления ответа органа по аккредитации составляет:</w:t>
            </w:r>
          </w:p>
          <w:p w14:paraId="1158D8EF" w14:textId="77777777" w:rsidR="005A7B64" w:rsidRPr="005A7B64" w:rsidRDefault="005A7B64" w:rsidP="005A7B64">
            <w:pPr>
              <w:pStyle w:val="aa"/>
              <w:numPr>
                <w:ilvl w:val="0"/>
                <w:numId w:val="19"/>
              </w:numPr>
              <w:tabs>
                <w:tab w:val="left" w:pos="343"/>
              </w:tabs>
              <w:overflowPunct/>
              <w:autoSpaceDE/>
              <w:autoSpaceDN/>
              <w:adjustRightInd/>
              <w:ind w:left="0" w:right="32" w:firstLine="0"/>
              <w:contextualSpacing w:val="0"/>
              <w:jc w:val="both"/>
              <w:rPr>
                <w:sz w:val="20"/>
              </w:rPr>
            </w:pPr>
            <w:r w:rsidRPr="005A7B64">
              <w:rPr>
                <w:sz w:val="20"/>
                <w:highlight w:val="yellow"/>
              </w:rPr>
              <w:t>не более 1 месяца</w:t>
            </w:r>
            <w:r w:rsidRPr="005A7B64">
              <w:rPr>
                <w:sz w:val="20"/>
              </w:rPr>
              <w:t xml:space="preserve"> – при повторной паритетной оценке или расширении;</w:t>
            </w:r>
          </w:p>
          <w:p w14:paraId="1886F615" w14:textId="77777777" w:rsidR="005A7B64" w:rsidRPr="005A7B64" w:rsidRDefault="005A7B64" w:rsidP="005A7B64">
            <w:pPr>
              <w:pStyle w:val="aa"/>
              <w:numPr>
                <w:ilvl w:val="0"/>
                <w:numId w:val="19"/>
              </w:numPr>
              <w:tabs>
                <w:tab w:val="left" w:pos="343"/>
              </w:tabs>
              <w:overflowPunct/>
              <w:autoSpaceDE/>
              <w:autoSpaceDN/>
              <w:adjustRightInd/>
              <w:ind w:left="0" w:right="32" w:firstLine="0"/>
              <w:contextualSpacing w:val="0"/>
              <w:jc w:val="both"/>
              <w:rPr>
                <w:sz w:val="20"/>
              </w:rPr>
            </w:pPr>
            <w:r w:rsidRPr="005A7B64">
              <w:rPr>
                <w:sz w:val="20"/>
                <w:highlight w:val="yellow"/>
              </w:rPr>
              <w:t>не более 3 месяцев</w:t>
            </w:r>
            <w:r w:rsidRPr="005A7B64">
              <w:rPr>
                <w:sz w:val="20"/>
              </w:rPr>
              <w:t xml:space="preserve"> – при первичной паритетной оценке:</w:t>
            </w:r>
          </w:p>
          <w:p w14:paraId="5DE6B8AE" w14:textId="77777777" w:rsidR="005A7B64" w:rsidRPr="005A7B64" w:rsidRDefault="005A7B64" w:rsidP="005A7B64">
            <w:pPr>
              <w:jc w:val="both"/>
              <w:rPr>
                <w:bCs/>
                <w:sz w:val="20"/>
              </w:rPr>
            </w:pPr>
          </w:p>
        </w:tc>
        <w:tc>
          <w:tcPr>
            <w:tcW w:w="5030" w:type="dxa"/>
            <w:gridSpan w:val="3"/>
          </w:tcPr>
          <w:p w14:paraId="22484E1B" w14:textId="77777777" w:rsidR="005A7B64" w:rsidRPr="005A7B64" w:rsidRDefault="005A7B64" w:rsidP="005A7B64">
            <w:pPr>
              <w:tabs>
                <w:tab w:val="left" w:pos="1065"/>
              </w:tabs>
              <w:jc w:val="both"/>
              <w:rPr>
                <w:sz w:val="20"/>
              </w:rPr>
            </w:pPr>
            <w:r w:rsidRPr="005A7B64">
              <w:rPr>
                <w:sz w:val="20"/>
              </w:rPr>
              <w:t xml:space="preserve">В Порядке, по мнению КЦА, установлены очень сжатые сроки по процессам </w:t>
            </w:r>
            <w:proofErr w:type="spellStart"/>
            <w:r w:rsidRPr="005A7B64">
              <w:rPr>
                <w:sz w:val="20"/>
              </w:rPr>
              <w:t>предоценки</w:t>
            </w:r>
            <w:proofErr w:type="spellEnd"/>
            <w:r w:rsidRPr="005A7B64">
              <w:rPr>
                <w:sz w:val="20"/>
              </w:rPr>
              <w:t xml:space="preserve">, первичной оценки, включая расширение, переоценки органа по </w:t>
            </w:r>
            <w:proofErr w:type="gramStart"/>
            <w:r w:rsidRPr="005A7B64">
              <w:rPr>
                <w:sz w:val="20"/>
              </w:rPr>
              <w:t>аккредитации,  представления</w:t>
            </w:r>
            <w:proofErr w:type="gramEnd"/>
            <w:r w:rsidRPr="005A7B64">
              <w:rPr>
                <w:sz w:val="20"/>
              </w:rPr>
              <w:t xml:space="preserve"> органом по аккредитации корректирующих действий по установленным несоответствиям и отчетов  об их выполнения (КД).  Например: достаточно ли 3 дня для </w:t>
            </w:r>
            <w:proofErr w:type="spellStart"/>
            <w:r w:rsidRPr="005A7B64">
              <w:rPr>
                <w:sz w:val="20"/>
              </w:rPr>
              <w:t>предоценки</w:t>
            </w:r>
            <w:proofErr w:type="spellEnd"/>
            <w:r w:rsidRPr="005A7B64">
              <w:rPr>
                <w:sz w:val="20"/>
              </w:rPr>
              <w:t xml:space="preserve"> (см. п. 6.4)  с учетом  опыта по </w:t>
            </w:r>
            <w:proofErr w:type="spellStart"/>
            <w:r w:rsidRPr="005A7B64">
              <w:rPr>
                <w:sz w:val="20"/>
              </w:rPr>
              <w:t>предоценке</w:t>
            </w:r>
            <w:proofErr w:type="spellEnd"/>
            <w:r w:rsidRPr="005A7B64">
              <w:rPr>
                <w:sz w:val="20"/>
              </w:rPr>
              <w:t xml:space="preserve"> КЦА со стороны оценочной группы ILAC (состояла из 2-х оценщиков),  проведенной в 2011 г. в области  только испытаний по ISO/IEC 17025 заняло 5 дней.   </w:t>
            </w:r>
          </w:p>
          <w:p w14:paraId="7747D3CF" w14:textId="6DC801D3" w:rsidR="005A7B64" w:rsidRPr="00301462" w:rsidRDefault="005A7B64" w:rsidP="005A7B64">
            <w:pPr>
              <w:tabs>
                <w:tab w:val="left" w:pos="1065"/>
              </w:tabs>
              <w:jc w:val="both"/>
              <w:rPr>
                <w:sz w:val="20"/>
              </w:rPr>
            </w:pPr>
            <w:r w:rsidRPr="005A7B64">
              <w:rPr>
                <w:sz w:val="20"/>
              </w:rPr>
              <w:t>В п.9.2, предлагается установить срок представления отчета по КД для повторной оценке- 65 рабочих дней и 120 рабочих дней - для первичной оценки, включая расширение.  Также уточнить по всему тексту Порядка по процессам паритетной оценки, указаны сроки в календарных или рабочих днях? КЦА предлагает указать сроки в рабочих днях.</w:t>
            </w:r>
          </w:p>
        </w:tc>
        <w:tc>
          <w:tcPr>
            <w:tcW w:w="2551" w:type="dxa"/>
          </w:tcPr>
          <w:p w14:paraId="19959BEC" w14:textId="77777777" w:rsidR="005A7B64" w:rsidRPr="00FB6027" w:rsidRDefault="005A7B64" w:rsidP="007A4DDC">
            <w:pPr>
              <w:tabs>
                <w:tab w:val="left" w:pos="14092"/>
              </w:tabs>
              <w:ind w:left="-108"/>
              <w:rPr>
                <w:bCs/>
                <w:i/>
                <w:iCs/>
                <w:sz w:val="20"/>
              </w:rPr>
            </w:pPr>
          </w:p>
        </w:tc>
        <w:tc>
          <w:tcPr>
            <w:tcW w:w="2126" w:type="dxa"/>
          </w:tcPr>
          <w:p w14:paraId="1B8B599E" w14:textId="77777777" w:rsidR="005A7B64" w:rsidRPr="00DA0043" w:rsidRDefault="005A7B64" w:rsidP="007A4DDC">
            <w:pPr>
              <w:jc w:val="center"/>
              <w:rPr>
                <w:b/>
                <w:sz w:val="22"/>
                <w:szCs w:val="22"/>
              </w:rPr>
            </w:pPr>
          </w:p>
        </w:tc>
      </w:tr>
      <w:tr w:rsidR="007A4DDC" w:rsidRPr="00D1407F" w14:paraId="3CB9B1E5" w14:textId="77777777" w:rsidTr="00E34347">
        <w:trPr>
          <w:trHeight w:val="461"/>
        </w:trPr>
        <w:tc>
          <w:tcPr>
            <w:tcW w:w="5030" w:type="dxa"/>
            <w:gridSpan w:val="4"/>
          </w:tcPr>
          <w:p w14:paraId="1229C07D" w14:textId="77777777" w:rsidR="005A7B64" w:rsidRPr="005A7B64" w:rsidRDefault="005A7B64" w:rsidP="005A7B64">
            <w:pPr>
              <w:pStyle w:val="aa"/>
              <w:numPr>
                <w:ilvl w:val="1"/>
                <w:numId w:val="22"/>
              </w:numPr>
              <w:overflowPunct/>
              <w:autoSpaceDE/>
              <w:autoSpaceDN/>
              <w:adjustRightInd/>
              <w:ind w:left="0" w:firstLine="0"/>
              <w:contextualSpacing w:val="0"/>
              <w:jc w:val="both"/>
              <w:rPr>
                <w:sz w:val="20"/>
              </w:rPr>
            </w:pPr>
            <w:r w:rsidRPr="005A7B64">
              <w:rPr>
                <w:rFonts w:eastAsia="Calibri"/>
                <w:sz w:val="20"/>
                <w:lang w:eastAsia="en-US"/>
              </w:rPr>
              <w:t>Руководитель группы по предварительной составляет программу оценки, которая должна охватить следующие аспекты деятельности оцениваемого органа по аккредитации:</w:t>
            </w:r>
          </w:p>
          <w:p w14:paraId="19AA55CD" w14:textId="77777777" w:rsidR="005A7B64" w:rsidRPr="005A7B64" w:rsidRDefault="005A7B64" w:rsidP="005A7B64">
            <w:pPr>
              <w:numPr>
                <w:ilvl w:val="0"/>
                <w:numId w:val="21"/>
              </w:numPr>
              <w:tabs>
                <w:tab w:val="left" w:pos="343"/>
              </w:tabs>
              <w:overflowPunct/>
              <w:autoSpaceDE/>
              <w:autoSpaceDN/>
              <w:adjustRightInd/>
              <w:ind w:left="0" w:firstLine="58"/>
              <w:jc w:val="both"/>
              <w:rPr>
                <w:rFonts w:eastAsia="Calibri"/>
                <w:sz w:val="20"/>
              </w:rPr>
            </w:pPr>
            <w:r w:rsidRPr="005A7B64">
              <w:rPr>
                <w:rFonts w:eastAsia="Calibri"/>
                <w:sz w:val="20"/>
              </w:rPr>
              <w:t>участие в проверках квалификации (для аккредитации испытательных и калибровочных лабораторий и, при необходимости, инспекционных органов);</w:t>
            </w:r>
          </w:p>
          <w:p w14:paraId="3ED90E9F" w14:textId="48FB943B" w:rsidR="007A4DDC" w:rsidRPr="005A7B64" w:rsidRDefault="005A7B64" w:rsidP="005A7B64">
            <w:pPr>
              <w:numPr>
                <w:ilvl w:val="0"/>
                <w:numId w:val="21"/>
              </w:numPr>
              <w:tabs>
                <w:tab w:val="left" w:pos="343"/>
              </w:tabs>
              <w:overflowPunct/>
              <w:autoSpaceDE/>
              <w:autoSpaceDN/>
              <w:adjustRightInd/>
              <w:ind w:left="0" w:firstLine="58"/>
              <w:jc w:val="both"/>
              <w:rPr>
                <w:sz w:val="20"/>
              </w:rPr>
            </w:pPr>
            <w:r w:rsidRPr="005A7B64">
              <w:rPr>
                <w:rFonts w:eastAsia="Calibri"/>
                <w:sz w:val="20"/>
              </w:rPr>
              <w:t>установленные способы обеспечения прослеживаемости измерений (для аккредитации испытательных и калибровочных лабораторий и, при необходимости, инспекционных органов). В некоторых случаях может понадобиться посетить национальный метрологический институт;</w:t>
            </w:r>
          </w:p>
        </w:tc>
        <w:tc>
          <w:tcPr>
            <w:tcW w:w="5030" w:type="dxa"/>
            <w:gridSpan w:val="3"/>
          </w:tcPr>
          <w:p w14:paraId="2436D765" w14:textId="77777777" w:rsidR="007A4DDC" w:rsidRPr="00301462" w:rsidRDefault="007A4DDC" w:rsidP="00C5549A">
            <w:pPr>
              <w:tabs>
                <w:tab w:val="left" w:pos="1065"/>
              </w:tabs>
              <w:jc w:val="both"/>
              <w:rPr>
                <w:sz w:val="20"/>
              </w:rPr>
            </w:pPr>
            <w:r w:rsidRPr="00301462">
              <w:rPr>
                <w:sz w:val="20"/>
              </w:rPr>
              <w:t>П.6.3 Порядка, уточнить  в программе оценки оцениваемого органа по аккредитации, включено  участие в проверках квалификации (только для аккредитации испытательных и калибровочных лабораторий и, при необходимости, инспекционных органов), а где участие в таких действиях медицинских лабораторий по ISO 15189, провайдеров программ проверки квалификации по ISO/ IEC 17043 (в случае,  когда они имеют собственные базы для  измерений/определений стабильности и однородности образцов, предназначенных для ППК) и т.д.;</w:t>
            </w:r>
          </w:p>
          <w:p w14:paraId="14376FD6" w14:textId="66F20A57" w:rsidR="007A4DDC" w:rsidRPr="00301462" w:rsidRDefault="007A4DDC" w:rsidP="00C5549A">
            <w:pPr>
              <w:tabs>
                <w:tab w:val="left" w:pos="1065"/>
              </w:tabs>
              <w:jc w:val="both"/>
              <w:rPr>
                <w:sz w:val="20"/>
              </w:rPr>
            </w:pPr>
            <w:r w:rsidRPr="00301462">
              <w:rPr>
                <w:sz w:val="20"/>
              </w:rPr>
              <w:t>− Аналогично к пункту: «установленные способы обеспечения прослеживаемости измерений (для аккредитации испытательных и калибровочных лабораторий и, при необходимости, инспекционных органов)» не учтены данные требования для других схем, где применимо.</w:t>
            </w:r>
          </w:p>
        </w:tc>
        <w:tc>
          <w:tcPr>
            <w:tcW w:w="2551" w:type="dxa"/>
          </w:tcPr>
          <w:p w14:paraId="0747F42A" w14:textId="65C8FE02" w:rsidR="007A4DDC" w:rsidRPr="00FB6027" w:rsidRDefault="007A4DDC" w:rsidP="007A4DDC">
            <w:pPr>
              <w:rPr>
                <w:b/>
                <w:sz w:val="20"/>
              </w:rPr>
            </w:pPr>
            <w:r w:rsidRPr="00FB6027">
              <w:rPr>
                <w:bCs/>
                <w:i/>
                <w:iCs/>
                <w:sz w:val="20"/>
              </w:rPr>
              <w:t>Предлагаем обсудить в рамках очередного заседания</w:t>
            </w:r>
          </w:p>
        </w:tc>
        <w:tc>
          <w:tcPr>
            <w:tcW w:w="2126" w:type="dxa"/>
          </w:tcPr>
          <w:p w14:paraId="2DCA15F9" w14:textId="3FD2710E" w:rsidR="007A4DDC" w:rsidRPr="00DA0043" w:rsidRDefault="007A4DDC" w:rsidP="007A4DDC">
            <w:pPr>
              <w:jc w:val="center"/>
              <w:rPr>
                <w:b/>
                <w:sz w:val="22"/>
                <w:szCs w:val="22"/>
              </w:rPr>
            </w:pPr>
          </w:p>
        </w:tc>
      </w:tr>
      <w:tr w:rsidR="007A4DDC" w:rsidRPr="00D1407F" w14:paraId="6E375F58" w14:textId="77777777" w:rsidTr="00E34347">
        <w:trPr>
          <w:trHeight w:val="461"/>
        </w:trPr>
        <w:tc>
          <w:tcPr>
            <w:tcW w:w="5030" w:type="dxa"/>
            <w:gridSpan w:val="4"/>
          </w:tcPr>
          <w:p w14:paraId="5A14AF68" w14:textId="51E497E7" w:rsidR="007A4DDC" w:rsidRPr="005A7B64" w:rsidRDefault="005A7B64" w:rsidP="005A7B64">
            <w:pPr>
              <w:overflowPunct/>
              <w:autoSpaceDE/>
              <w:autoSpaceDN/>
              <w:adjustRightInd/>
              <w:spacing w:after="200"/>
              <w:jc w:val="both"/>
              <w:rPr>
                <w:sz w:val="20"/>
              </w:rPr>
            </w:pPr>
            <w:r w:rsidRPr="005A7B64">
              <w:rPr>
                <w:sz w:val="20"/>
              </w:rPr>
              <w:t xml:space="preserve">11.2 В заседании Совета ЕААС по Договоренности могут принимать участие представители органа по аккредитации, прошедшего паритетную оценку, включая представителей их регулирующего органа </w:t>
            </w:r>
            <w:r w:rsidRPr="005A7B64">
              <w:rPr>
                <w:i/>
                <w:iCs/>
                <w:sz w:val="20"/>
              </w:rPr>
              <w:t>(</w:t>
            </w:r>
            <w:r w:rsidRPr="005A7B64">
              <w:rPr>
                <w:i/>
                <w:iCs/>
                <w:color w:val="FF0000"/>
                <w:sz w:val="20"/>
              </w:rPr>
              <w:t>ограничение по количеству наблюдателей – на обсуждение РГ</w:t>
            </w:r>
            <w:r w:rsidRPr="005A7B64">
              <w:rPr>
                <w:i/>
                <w:iCs/>
                <w:sz w:val="20"/>
              </w:rPr>
              <w:t>)</w:t>
            </w:r>
            <w:r w:rsidRPr="005A7B64">
              <w:rPr>
                <w:sz w:val="20"/>
              </w:rPr>
              <w:t>.</w:t>
            </w:r>
          </w:p>
        </w:tc>
        <w:tc>
          <w:tcPr>
            <w:tcW w:w="5030" w:type="dxa"/>
            <w:gridSpan w:val="3"/>
          </w:tcPr>
          <w:p w14:paraId="3AEA8020" w14:textId="08D5F0B5" w:rsidR="007A4DDC" w:rsidRPr="00301462" w:rsidRDefault="007A4DDC" w:rsidP="00C5549A">
            <w:pPr>
              <w:overflowPunct/>
              <w:autoSpaceDE/>
              <w:autoSpaceDN/>
              <w:adjustRightInd/>
              <w:spacing w:after="200"/>
              <w:jc w:val="both"/>
              <w:rPr>
                <w:sz w:val="20"/>
              </w:rPr>
            </w:pPr>
            <w:r w:rsidRPr="00301462">
              <w:rPr>
                <w:sz w:val="20"/>
                <w:lang w:eastAsia="en-US"/>
              </w:rPr>
              <w:t>П.11.2 Порядка устанавливает, что «В заседании Совета ЕААС по Договоренности могут принимать участие представители органа по аккредитации, прошедшего паритетную оценку, включая представителей их регулирующего органа», КЦА предлагает исключить этот пункт для обеспечения правил конфиденциальности;</w:t>
            </w:r>
          </w:p>
        </w:tc>
        <w:tc>
          <w:tcPr>
            <w:tcW w:w="2551" w:type="dxa"/>
          </w:tcPr>
          <w:p w14:paraId="26F28620" w14:textId="264400ED" w:rsidR="007A4DDC" w:rsidRPr="00FB6027" w:rsidRDefault="007A4DDC" w:rsidP="007A4DDC">
            <w:pPr>
              <w:rPr>
                <w:b/>
                <w:sz w:val="20"/>
              </w:rPr>
            </w:pPr>
            <w:r w:rsidRPr="00FB6027">
              <w:rPr>
                <w:bCs/>
                <w:i/>
                <w:iCs/>
                <w:sz w:val="20"/>
              </w:rPr>
              <w:t>Предлагаем обсудить в рамках очередного заседания</w:t>
            </w:r>
          </w:p>
        </w:tc>
        <w:tc>
          <w:tcPr>
            <w:tcW w:w="2126" w:type="dxa"/>
          </w:tcPr>
          <w:p w14:paraId="51420E9C" w14:textId="6E6EAD12" w:rsidR="007A4DDC" w:rsidRPr="00DA0043" w:rsidRDefault="007A4DDC" w:rsidP="007A4DDC">
            <w:pPr>
              <w:jc w:val="center"/>
              <w:rPr>
                <w:b/>
                <w:sz w:val="22"/>
                <w:szCs w:val="22"/>
              </w:rPr>
            </w:pPr>
          </w:p>
        </w:tc>
      </w:tr>
      <w:tr w:rsidR="007A4DDC" w:rsidRPr="00D1407F" w14:paraId="41272E4F" w14:textId="77777777" w:rsidTr="000E1D59">
        <w:trPr>
          <w:trHeight w:val="1737"/>
        </w:trPr>
        <w:tc>
          <w:tcPr>
            <w:tcW w:w="5030" w:type="dxa"/>
            <w:gridSpan w:val="4"/>
          </w:tcPr>
          <w:p w14:paraId="5D61DF3D" w14:textId="11D7A371" w:rsidR="005A7B64" w:rsidRPr="005A7B64" w:rsidRDefault="005A7B64" w:rsidP="005A7B64">
            <w:pPr>
              <w:jc w:val="both"/>
              <w:rPr>
                <w:bCs/>
                <w:sz w:val="20"/>
              </w:rPr>
            </w:pPr>
            <w:r w:rsidRPr="005A7B64">
              <w:rPr>
                <w:bCs/>
                <w:sz w:val="20"/>
              </w:rPr>
              <w:t xml:space="preserve">14.3.2 </w:t>
            </w:r>
            <w:r w:rsidRPr="005A7B64">
              <w:rPr>
                <w:bCs/>
                <w:sz w:val="20"/>
              </w:rPr>
              <w:tab/>
              <w:t>содействие организации оценки на месте и/или проведению удаленной оценки:</w:t>
            </w:r>
          </w:p>
          <w:p w14:paraId="6A66A172" w14:textId="0EBE020D" w:rsidR="007A4DDC" w:rsidRPr="006753BF" w:rsidRDefault="005A7B64" w:rsidP="005A7B64">
            <w:pPr>
              <w:overflowPunct/>
              <w:autoSpaceDE/>
              <w:autoSpaceDN/>
              <w:adjustRightInd/>
              <w:spacing w:after="200"/>
              <w:jc w:val="both"/>
              <w:rPr>
                <w:sz w:val="24"/>
                <w:szCs w:val="24"/>
                <w:lang w:eastAsia="en-US"/>
              </w:rPr>
            </w:pPr>
            <w:r w:rsidRPr="005A7B64">
              <w:rPr>
                <w:bCs/>
                <w:sz w:val="20"/>
              </w:rPr>
              <w:t xml:space="preserve">б) предоставление группе по оценке </w:t>
            </w:r>
            <w:r w:rsidRPr="005A7B64">
              <w:rPr>
                <w:bCs/>
                <w:sz w:val="20"/>
                <w:highlight w:val="yellow"/>
              </w:rPr>
              <w:t>за 3 месяца</w:t>
            </w:r>
            <w:r w:rsidRPr="005A7B64">
              <w:rPr>
                <w:bCs/>
                <w:sz w:val="20"/>
              </w:rPr>
              <w:t xml:space="preserve"> до назначенной даты оценки на месте (</w:t>
            </w:r>
            <w:r w:rsidRPr="005A7B64">
              <w:rPr>
                <w:bCs/>
                <w:color w:val="FF0000"/>
                <w:sz w:val="20"/>
              </w:rPr>
              <w:t>срок – на обсуждение членов РГ, в АРАС – за 6 недель</w:t>
            </w:r>
            <w:r w:rsidRPr="005A7B64">
              <w:rPr>
                <w:bCs/>
                <w:sz w:val="20"/>
              </w:rPr>
              <w:t>) перечня оценок органа по аккредитации, запланированных на период проведения оценки на месте;</w:t>
            </w:r>
          </w:p>
        </w:tc>
        <w:tc>
          <w:tcPr>
            <w:tcW w:w="5030" w:type="dxa"/>
            <w:gridSpan w:val="3"/>
          </w:tcPr>
          <w:p w14:paraId="5D51A9A7" w14:textId="4B57A1E6" w:rsidR="007A4DDC" w:rsidRPr="00301462" w:rsidRDefault="007A4DDC" w:rsidP="00C5549A">
            <w:pPr>
              <w:overflowPunct/>
              <w:autoSpaceDE/>
              <w:autoSpaceDN/>
              <w:adjustRightInd/>
              <w:spacing w:after="200"/>
              <w:jc w:val="both"/>
              <w:rPr>
                <w:sz w:val="20"/>
                <w:lang w:eastAsia="en-US"/>
              </w:rPr>
            </w:pPr>
            <w:r w:rsidRPr="00301462">
              <w:rPr>
                <w:sz w:val="20"/>
                <w:lang w:eastAsia="en-US"/>
              </w:rPr>
              <w:t xml:space="preserve">П 14.3.2 б Порядка согласиться за 6 недель по предоставлению группе по оценке до назначенной даты оценки на месте (вместо за 3 месяца) перечня оценок органа по аккредитации, запланированных на период проведения оценки на месте; </w:t>
            </w:r>
          </w:p>
        </w:tc>
        <w:tc>
          <w:tcPr>
            <w:tcW w:w="2551" w:type="dxa"/>
          </w:tcPr>
          <w:p w14:paraId="25908541" w14:textId="16625E4A" w:rsidR="007A4DDC" w:rsidRPr="00FB6027" w:rsidRDefault="007A4DDC" w:rsidP="007A4DDC">
            <w:pPr>
              <w:rPr>
                <w:b/>
                <w:sz w:val="20"/>
              </w:rPr>
            </w:pPr>
            <w:r w:rsidRPr="00FB6027">
              <w:rPr>
                <w:bCs/>
                <w:i/>
                <w:iCs/>
                <w:sz w:val="20"/>
              </w:rPr>
              <w:t>Предлагаем обсудить в рамках очередного заседания</w:t>
            </w:r>
          </w:p>
        </w:tc>
        <w:tc>
          <w:tcPr>
            <w:tcW w:w="2126" w:type="dxa"/>
          </w:tcPr>
          <w:p w14:paraId="20E66115" w14:textId="41103365" w:rsidR="007A4DDC" w:rsidRPr="00DA0043" w:rsidRDefault="007A4DDC" w:rsidP="007A4DDC">
            <w:pPr>
              <w:jc w:val="center"/>
              <w:rPr>
                <w:b/>
                <w:sz w:val="22"/>
                <w:szCs w:val="22"/>
              </w:rPr>
            </w:pPr>
          </w:p>
        </w:tc>
      </w:tr>
      <w:tr w:rsidR="007A4DDC" w:rsidRPr="00D1407F" w14:paraId="4ABFF39F" w14:textId="77777777" w:rsidTr="00E34347">
        <w:trPr>
          <w:trHeight w:val="461"/>
        </w:trPr>
        <w:tc>
          <w:tcPr>
            <w:tcW w:w="5030" w:type="dxa"/>
            <w:gridSpan w:val="4"/>
          </w:tcPr>
          <w:p w14:paraId="25B6B98A" w14:textId="77777777" w:rsidR="005A7B64" w:rsidRPr="005A7B64" w:rsidRDefault="005A7B64" w:rsidP="002555DE">
            <w:pPr>
              <w:jc w:val="both"/>
              <w:rPr>
                <w:bCs/>
                <w:sz w:val="20"/>
              </w:rPr>
            </w:pPr>
            <w:r w:rsidRPr="005A7B64">
              <w:rPr>
                <w:bCs/>
                <w:sz w:val="20"/>
              </w:rPr>
              <w:t>14.3.2</w:t>
            </w:r>
            <w:r w:rsidRPr="005A7B64">
              <w:rPr>
                <w:bCs/>
                <w:sz w:val="20"/>
              </w:rPr>
              <w:tab/>
              <w:t>содействие организации оценки на месте и/или проведению удаленной оценки:</w:t>
            </w:r>
          </w:p>
          <w:p w14:paraId="5929D070" w14:textId="6DF8A6CA" w:rsidR="007A4DDC" w:rsidRPr="006753BF" w:rsidRDefault="005A7B64" w:rsidP="002555DE">
            <w:pPr>
              <w:overflowPunct/>
              <w:autoSpaceDE/>
              <w:autoSpaceDN/>
              <w:adjustRightInd/>
              <w:spacing w:after="200"/>
              <w:jc w:val="both"/>
              <w:rPr>
                <w:sz w:val="24"/>
                <w:szCs w:val="24"/>
                <w:lang w:eastAsia="en-US"/>
              </w:rPr>
            </w:pPr>
            <w:r w:rsidRPr="005A7B64">
              <w:rPr>
                <w:sz w:val="20"/>
              </w:rPr>
              <w:t xml:space="preserve">д) предоставление возможности посетить заседание комитета (иного органа), принимающего решения по аккредитации и/или наблюдать за его деятельностью дистанционно </w:t>
            </w:r>
            <w:r w:rsidRPr="005A7B64">
              <w:rPr>
                <w:sz w:val="20"/>
                <w:highlight w:val="yellow"/>
              </w:rPr>
              <w:t>(требования к информационной безопасности – политика нужна отдельная?)</w:t>
            </w:r>
            <w:r w:rsidRPr="005A7B64">
              <w:rPr>
                <w:sz w:val="20"/>
              </w:rPr>
              <w:t>;</w:t>
            </w:r>
          </w:p>
        </w:tc>
        <w:tc>
          <w:tcPr>
            <w:tcW w:w="5030" w:type="dxa"/>
            <w:gridSpan w:val="3"/>
          </w:tcPr>
          <w:p w14:paraId="172851B6" w14:textId="7BEACDA4" w:rsidR="007A4DDC" w:rsidRPr="00301462" w:rsidRDefault="007A4DDC" w:rsidP="00C5549A">
            <w:pPr>
              <w:overflowPunct/>
              <w:autoSpaceDE/>
              <w:autoSpaceDN/>
              <w:adjustRightInd/>
              <w:spacing w:after="200"/>
              <w:jc w:val="both"/>
              <w:rPr>
                <w:sz w:val="20"/>
                <w:lang w:eastAsia="en-US"/>
              </w:rPr>
            </w:pPr>
            <w:r w:rsidRPr="00301462">
              <w:rPr>
                <w:sz w:val="20"/>
                <w:lang w:eastAsia="en-US"/>
              </w:rPr>
              <w:t>П.14.3.2д Порядка исключить, так как это нарушает правила обеспечения беспристрастности и правила работы Комиссии по принятию решения органа по аккредитации в рамках ISO/ IEC 17011, проверку выполнения данного процесса органом аккредитации возможно документально, проверкой записей и интервьюированием соответствующего персонала органа аккредитации, что не запрещается ISO 19011;</w:t>
            </w:r>
          </w:p>
        </w:tc>
        <w:tc>
          <w:tcPr>
            <w:tcW w:w="2551" w:type="dxa"/>
          </w:tcPr>
          <w:p w14:paraId="3832BE24" w14:textId="359F61FA" w:rsidR="007A4DDC" w:rsidRPr="00FB6027" w:rsidRDefault="007A4DDC" w:rsidP="007A4DDC">
            <w:pPr>
              <w:rPr>
                <w:b/>
                <w:sz w:val="20"/>
              </w:rPr>
            </w:pPr>
            <w:r w:rsidRPr="00FB6027">
              <w:rPr>
                <w:bCs/>
                <w:i/>
                <w:iCs/>
                <w:sz w:val="20"/>
              </w:rPr>
              <w:t>Предлагаем обсудить в рамках очередного заседания</w:t>
            </w:r>
          </w:p>
        </w:tc>
        <w:tc>
          <w:tcPr>
            <w:tcW w:w="2126" w:type="dxa"/>
          </w:tcPr>
          <w:p w14:paraId="00D371C3" w14:textId="3454E71B" w:rsidR="007A4DDC" w:rsidRPr="00DA0043" w:rsidRDefault="007A4DDC" w:rsidP="007A4DDC">
            <w:pPr>
              <w:jc w:val="center"/>
              <w:rPr>
                <w:b/>
                <w:sz w:val="22"/>
                <w:szCs w:val="22"/>
              </w:rPr>
            </w:pPr>
          </w:p>
        </w:tc>
      </w:tr>
      <w:tr w:rsidR="007A4DDC" w:rsidRPr="00D1407F" w14:paraId="17875EFD" w14:textId="77777777" w:rsidTr="00E34347">
        <w:trPr>
          <w:trHeight w:val="461"/>
        </w:trPr>
        <w:tc>
          <w:tcPr>
            <w:tcW w:w="5030" w:type="dxa"/>
            <w:gridSpan w:val="4"/>
          </w:tcPr>
          <w:p w14:paraId="1B516134" w14:textId="77777777" w:rsidR="002555DE" w:rsidRPr="002555DE" w:rsidRDefault="002555DE" w:rsidP="002555DE">
            <w:pPr>
              <w:jc w:val="both"/>
              <w:rPr>
                <w:bCs/>
                <w:sz w:val="20"/>
              </w:rPr>
            </w:pPr>
            <w:r w:rsidRPr="002555DE">
              <w:rPr>
                <w:bCs/>
                <w:sz w:val="20"/>
              </w:rPr>
              <w:t>14.3.2</w:t>
            </w:r>
            <w:r w:rsidRPr="002555DE">
              <w:rPr>
                <w:bCs/>
                <w:sz w:val="20"/>
              </w:rPr>
              <w:tab/>
              <w:t>содействие организации оценки на месте и/или проведению удаленной оценки:</w:t>
            </w:r>
          </w:p>
          <w:p w14:paraId="56357851" w14:textId="1C0ADA17" w:rsidR="007A4DDC" w:rsidRPr="006753BF" w:rsidRDefault="002555DE" w:rsidP="002555DE">
            <w:pPr>
              <w:overflowPunct/>
              <w:autoSpaceDE/>
              <w:autoSpaceDN/>
              <w:adjustRightInd/>
              <w:spacing w:after="200"/>
              <w:jc w:val="both"/>
              <w:rPr>
                <w:sz w:val="24"/>
                <w:szCs w:val="24"/>
                <w:lang w:eastAsia="en-US"/>
              </w:rPr>
            </w:pPr>
            <w:r w:rsidRPr="002555DE">
              <w:rPr>
                <w:sz w:val="20"/>
              </w:rPr>
              <w:t>ж) содействие в организационных аспектах пребывания членов группы по оценке в стране органа по аккредитации, подвергаемому паритетной оценке (информирование о визовых требованиях, приглашение для получения визы, страхование, бронирование места проживания, транспортировка в/из аэропорт к месту проживания и т.д.).</w:t>
            </w:r>
          </w:p>
        </w:tc>
        <w:tc>
          <w:tcPr>
            <w:tcW w:w="5030" w:type="dxa"/>
            <w:gridSpan w:val="3"/>
          </w:tcPr>
          <w:p w14:paraId="40F1F3EE" w14:textId="79E00BA7" w:rsidR="007A4DDC" w:rsidRPr="00301462" w:rsidRDefault="007A4DDC" w:rsidP="00C5549A">
            <w:pPr>
              <w:overflowPunct/>
              <w:autoSpaceDE/>
              <w:autoSpaceDN/>
              <w:adjustRightInd/>
              <w:spacing w:after="200"/>
              <w:jc w:val="both"/>
              <w:rPr>
                <w:sz w:val="20"/>
                <w:lang w:eastAsia="en-US"/>
              </w:rPr>
            </w:pPr>
            <w:r w:rsidRPr="00301462">
              <w:rPr>
                <w:sz w:val="20"/>
                <w:lang w:eastAsia="en-US"/>
              </w:rPr>
              <w:t>П.14.3.2 ж Порядка уточнить и/или конкретизировать вопрос за чей счет производится «страхование» членов группы по паритетной оценки;</w:t>
            </w:r>
          </w:p>
        </w:tc>
        <w:tc>
          <w:tcPr>
            <w:tcW w:w="2551" w:type="dxa"/>
          </w:tcPr>
          <w:p w14:paraId="7DAEC236" w14:textId="3AAECAB0" w:rsidR="007A4DDC" w:rsidRPr="00FB6027" w:rsidRDefault="007A4DDC" w:rsidP="007A4DDC">
            <w:pPr>
              <w:rPr>
                <w:b/>
                <w:sz w:val="20"/>
              </w:rPr>
            </w:pPr>
            <w:r w:rsidRPr="00FB6027">
              <w:rPr>
                <w:bCs/>
                <w:i/>
                <w:iCs/>
                <w:sz w:val="20"/>
              </w:rPr>
              <w:t>Предлагаем обсудить в рамках очередного заседания</w:t>
            </w:r>
          </w:p>
        </w:tc>
        <w:tc>
          <w:tcPr>
            <w:tcW w:w="2126" w:type="dxa"/>
          </w:tcPr>
          <w:p w14:paraId="1D27B63F" w14:textId="0DB541EC" w:rsidR="007A4DDC" w:rsidRPr="00DA0043" w:rsidRDefault="007A4DDC" w:rsidP="007A4DDC">
            <w:pPr>
              <w:jc w:val="center"/>
              <w:rPr>
                <w:b/>
                <w:sz w:val="22"/>
                <w:szCs w:val="22"/>
              </w:rPr>
            </w:pPr>
          </w:p>
        </w:tc>
      </w:tr>
      <w:tr w:rsidR="007A4DDC" w:rsidRPr="00D1407F" w14:paraId="7230DCDF" w14:textId="77777777" w:rsidTr="00C5549A">
        <w:trPr>
          <w:trHeight w:val="2271"/>
        </w:trPr>
        <w:tc>
          <w:tcPr>
            <w:tcW w:w="5030" w:type="dxa"/>
            <w:gridSpan w:val="4"/>
          </w:tcPr>
          <w:p w14:paraId="4A8BFD88" w14:textId="77777777" w:rsidR="002555DE" w:rsidRPr="002555DE" w:rsidRDefault="002555DE" w:rsidP="002555DE">
            <w:pPr>
              <w:jc w:val="both"/>
              <w:rPr>
                <w:sz w:val="20"/>
              </w:rPr>
            </w:pPr>
            <w:r w:rsidRPr="002555DE">
              <w:rPr>
                <w:sz w:val="20"/>
              </w:rPr>
              <w:t xml:space="preserve">Форма заявки (приложение 1) Порядка: </w:t>
            </w:r>
          </w:p>
          <w:p w14:paraId="778A2EF5" w14:textId="77777777" w:rsidR="002555DE" w:rsidRPr="002555DE" w:rsidRDefault="002555DE" w:rsidP="002555DE">
            <w:pPr>
              <w:pStyle w:val="aa"/>
              <w:numPr>
                <w:ilvl w:val="0"/>
                <w:numId w:val="24"/>
              </w:numPr>
              <w:tabs>
                <w:tab w:val="left" w:pos="200"/>
                <w:tab w:val="left" w:pos="9072"/>
              </w:tabs>
              <w:overflowPunct/>
              <w:autoSpaceDE/>
              <w:autoSpaceDN/>
              <w:adjustRightInd/>
              <w:ind w:left="173" w:hanging="284"/>
              <w:jc w:val="both"/>
              <w:rPr>
                <w:w w:val="101"/>
                <w:sz w:val="20"/>
              </w:rPr>
            </w:pPr>
            <w:r w:rsidRPr="002555DE">
              <w:rPr>
                <w:sz w:val="20"/>
              </w:rPr>
              <w:t>Направьте в электронном виде копию каждого из далее перечисленных документов (в переводе на английский язык, если исходный язык документа не английский)</w:t>
            </w:r>
          </w:p>
          <w:p w14:paraId="0D63ABC8" w14:textId="77777777" w:rsidR="002555DE" w:rsidRPr="002555DE" w:rsidRDefault="002555DE" w:rsidP="002555DE">
            <w:pPr>
              <w:pStyle w:val="aa"/>
              <w:numPr>
                <w:ilvl w:val="0"/>
                <w:numId w:val="23"/>
              </w:numPr>
              <w:tabs>
                <w:tab w:val="left" w:pos="200"/>
              </w:tabs>
              <w:overflowPunct/>
              <w:ind w:left="342" w:hanging="342"/>
              <w:contextualSpacing w:val="0"/>
              <w:jc w:val="both"/>
              <w:rPr>
                <w:sz w:val="20"/>
              </w:rPr>
            </w:pPr>
            <w:r w:rsidRPr="002555DE">
              <w:rPr>
                <w:sz w:val="20"/>
              </w:rPr>
              <w:t xml:space="preserve">для органов по аккредитации лабораторий/инспекционных органов – отчет об участии в международных программах проверки квалификации </w:t>
            </w:r>
            <w:r w:rsidRPr="002555DE">
              <w:rPr>
                <w:sz w:val="20"/>
                <w:highlight w:val="yellow"/>
              </w:rPr>
              <w:t>за последние 2 года</w:t>
            </w:r>
            <w:r w:rsidRPr="002555DE">
              <w:rPr>
                <w:sz w:val="20"/>
              </w:rPr>
              <w:t>;</w:t>
            </w:r>
          </w:p>
          <w:p w14:paraId="43C1D5B2" w14:textId="77777777" w:rsidR="002555DE" w:rsidRPr="002555DE" w:rsidRDefault="002555DE" w:rsidP="002555DE">
            <w:pPr>
              <w:pStyle w:val="aa"/>
              <w:tabs>
                <w:tab w:val="left" w:pos="200"/>
              </w:tabs>
              <w:ind w:left="342"/>
              <w:contextualSpacing w:val="0"/>
              <w:jc w:val="both"/>
              <w:rPr>
                <w:sz w:val="20"/>
              </w:rPr>
            </w:pPr>
            <w:r w:rsidRPr="002555DE">
              <w:rPr>
                <w:sz w:val="20"/>
              </w:rPr>
              <w:t>…</w:t>
            </w:r>
          </w:p>
          <w:p w14:paraId="7E2FF6C9" w14:textId="77777777" w:rsidR="002555DE" w:rsidRPr="002555DE" w:rsidRDefault="002555DE" w:rsidP="002555DE">
            <w:pPr>
              <w:pStyle w:val="aa"/>
              <w:tabs>
                <w:tab w:val="left" w:pos="200"/>
              </w:tabs>
              <w:ind w:left="342"/>
              <w:contextualSpacing w:val="0"/>
              <w:jc w:val="both"/>
              <w:rPr>
                <w:sz w:val="20"/>
              </w:rPr>
            </w:pPr>
          </w:p>
          <w:p w14:paraId="65B6F001" w14:textId="0C74468C" w:rsidR="002555DE" w:rsidRPr="00A5002D" w:rsidRDefault="002555DE" w:rsidP="002555DE">
            <w:pPr>
              <w:pStyle w:val="aa"/>
              <w:numPr>
                <w:ilvl w:val="0"/>
                <w:numId w:val="23"/>
              </w:numPr>
              <w:tabs>
                <w:tab w:val="left" w:pos="200"/>
              </w:tabs>
              <w:overflowPunct/>
              <w:ind w:left="342" w:hanging="342"/>
              <w:contextualSpacing w:val="0"/>
              <w:jc w:val="both"/>
              <w:rPr>
                <w:b/>
                <w:sz w:val="20"/>
              </w:rPr>
            </w:pPr>
            <w:r w:rsidRPr="002555DE">
              <w:rPr>
                <w:sz w:val="20"/>
              </w:rPr>
              <w:t xml:space="preserve">для испытательных и калибровочных лабораторий – информация о доступных источниках прослеживаемости измерений, например, перечень недавних международных сличениях, в которых принял участие национальный институт метрологии или назначенные институты и/или, если применимо, ссылка на калибровочные и измерительные возможности (СМС) национального института метрологии, опубликованные на сайте </w:t>
            </w:r>
            <w:r w:rsidRPr="002555DE">
              <w:rPr>
                <w:sz w:val="20"/>
                <w:lang w:val="en-GB"/>
              </w:rPr>
              <w:t>BIPM</w:t>
            </w:r>
            <w:r w:rsidRPr="002555DE">
              <w:rPr>
                <w:sz w:val="20"/>
              </w:rPr>
              <w:t>.</w:t>
            </w:r>
          </w:p>
          <w:p w14:paraId="63C32FAA" w14:textId="3C81345D" w:rsidR="00A5002D" w:rsidRDefault="00A5002D" w:rsidP="00A5002D">
            <w:pPr>
              <w:tabs>
                <w:tab w:val="left" w:pos="200"/>
              </w:tabs>
              <w:overflowPunct/>
              <w:jc w:val="both"/>
              <w:rPr>
                <w:b/>
                <w:sz w:val="20"/>
              </w:rPr>
            </w:pPr>
          </w:p>
          <w:p w14:paraId="43C2BA83" w14:textId="207A0E8E" w:rsidR="00A5002D" w:rsidRDefault="00A5002D" w:rsidP="00A5002D">
            <w:pPr>
              <w:tabs>
                <w:tab w:val="left" w:pos="200"/>
              </w:tabs>
              <w:overflowPunct/>
              <w:jc w:val="both"/>
              <w:rPr>
                <w:b/>
                <w:sz w:val="20"/>
              </w:rPr>
            </w:pPr>
          </w:p>
          <w:p w14:paraId="058D24B2" w14:textId="12C5829B" w:rsidR="00A5002D" w:rsidRDefault="00A5002D" w:rsidP="00A5002D">
            <w:pPr>
              <w:tabs>
                <w:tab w:val="left" w:pos="200"/>
              </w:tabs>
              <w:overflowPunct/>
              <w:jc w:val="both"/>
              <w:rPr>
                <w:b/>
                <w:sz w:val="20"/>
              </w:rPr>
            </w:pPr>
          </w:p>
          <w:p w14:paraId="3E3021CA" w14:textId="578D2609" w:rsidR="00A5002D" w:rsidRDefault="00A5002D" w:rsidP="00A5002D">
            <w:pPr>
              <w:tabs>
                <w:tab w:val="left" w:pos="200"/>
              </w:tabs>
              <w:overflowPunct/>
              <w:jc w:val="both"/>
              <w:rPr>
                <w:b/>
                <w:sz w:val="20"/>
              </w:rPr>
            </w:pPr>
          </w:p>
          <w:p w14:paraId="5CF91770" w14:textId="5B04FA4E" w:rsidR="00A5002D" w:rsidRDefault="00A5002D" w:rsidP="00A5002D">
            <w:pPr>
              <w:tabs>
                <w:tab w:val="left" w:pos="200"/>
              </w:tabs>
              <w:overflowPunct/>
              <w:jc w:val="both"/>
              <w:rPr>
                <w:b/>
                <w:sz w:val="20"/>
              </w:rPr>
            </w:pPr>
          </w:p>
          <w:p w14:paraId="69035B46" w14:textId="40D17D92" w:rsidR="00A5002D" w:rsidRDefault="00A5002D" w:rsidP="00A5002D">
            <w:pPr>
              <w:tabs>
                <w:tab w:val="left" w:pos="200"/>
              </w:tabs>
              <w:overflowPunct/>
              <w:jc w:val="both"/>
              <w:rPr>
                <w:b/>
                <w:sz w:val="20"/>
              </w:rPr>
            </w:pPr>
          </w:p>
          <w:p w14:paraId="3FCB2E85" w14:textId="70C46E0B" w:rsidR="00A5002D" w:rsidRDefault="00A5002D" w:rsidP="00A5002D">
            <w:pPr>
              <w:tabs>
                <w:tab w:val="left" w:pos="200"/>
              </w:tabs>
              <w:overflowPunct/>
              <w:jc w:val="both"/>
              <w:rPr>
                <w:b/>
                <w:sz w:val="20"/>
              </w:rPr>
            </w:pPr>
          </w:p>
          <w:p w14:paraId="3ABE9202" w14:textId="3BF433DD" w:rsidR="00A5002D" w:rsidRDefault="00A5002D" w:rsidP="00A5002D">
            <w:pPr>
              <w:tabs>
                <w:tab w:val="left" w:pos="200"/>
              </w:tabs>
              <w:overflowPunct/>
              <w:jc w:val="both"/>
              <w:rPr>
                <w:b/>
                <w:sz w:val="20"/>
              </w:rPr>
            </w:pPr>
          </w:p>
          <w:p w14:paraId="227676A9" w14:textId="35B2EEE9" w:rsidR="00A5002D" w:rsidRDefault="00A5002D" w:rsidP="00A5002D">
            <w:pPr>
              <w:tabs>
                <w:tab w:val="left" w:pos="200"/>
              </w:tabs>
              <w:overflowPunct/>
              <w:jc w:val="both"/>
              <w:rPr>
                <w:b/>
                <w:sz w:val="20"/>
              </w:rPr>
            </w:pPr>
          </w:p>
          <w:p w14:paraId="2C843F5B" w14:textId="687F504F" w:rsidR="00A5002D" w:rsidRDefault="00A5002D" w:rsidP="00A5002D">
            <w:pPr>
              <w:tabs>
                <w:tab w:val="left" w:pos="200"/>
              </w:tabs>
              <w:overflowPunct/>
              <w:jc w:val="both"/>
              <w:rPr>
                <w:b/>
                <w:sz w:val="20"/>
              </w:rPr>
            </w:pPr>
          </w:p>
          <w:p w14:paraId="7738E720" w14:textId="4CFB0697" w:rsidR="00A5002D" w:rsidRDefault="00A5002D" w:rsidP="00A5002D">
            <w:pPr>
              <w:tabs>
                <w:tab w:val="left" w:pos="200"/>
              </w:tabs>
              <w:overflowPunct/>
              <w:jc w:val="both"/>
              <w:rPr>
                <w:b/>
                <w:sz w:val="20"/>
              </w:rPr>
            </w:pPr>
          </w:p>
          <w:p w14:paraId="2B310F5A" w14:textId="7CFCE1ED" w:rsidR="00A5002D" w:rsidRPr="002555DE" w:rsidRDefault="00A5002D" w:rsidP="002555DE">
            <w:pPr>
              <w:pStyle w:val="aa"/>
              <w:numPr>
                <w:ilvl w:val="0"/>
                <w:numId w:val="23"/>
              </w:numPr>
              <w:tabs>
                <w:tab w:val="left" w:pos="200"/>
              </w:tabs>
              <w:overflowPunct/>
              <w:ind w:left="342" w:hanging="342"/>
              <w:contextualSpacing w:val="0"/>
              <w:jc w:val="both"/>
              <w:rPr>
                <w:b/>
                <w:sz w:val="20"/>
              </w:rPr>
            </w:pPr>
            <w:r w:rsidRPr="002555DE">
              <w:rPr>
                <w:sz w:val="20"/>
              </w:rPr>
              <w:t xml:space="preserve">процедуры и политики, требуемые </w:t>
            </w:r>
            <w:r w:rsidRPr="002555DE">
              <w:rPr>
                <w:sz w:val="20"/>
                <w:lang w:val="en-GB"/>
              </w:rPr>
              <w:t>ISO</w:t>
            </w:r>
            <w:r w:rsidRPr="002555DE">
              <w:rPr>
                <w:sz w:val="20"/>
              </w:rPr>
              <w:t>/</w:t>
            </w:r>
            <w:r w:rsidRPr="002555DE">
              <w:rPr>
                <w:sz w:val="20"/>
                <w:lang w:val="en-GB"/>
              </w:rPr>
              <w:t>IEC</w:t>
            </w:r>
            <w:r w:rsidRPr="002555DE">
              <w:rPr>
                <w:sz w:val="20"/>
              </w:rPr>
              <w:t xml:space="preserve"> 17011;</w:t>
            </w:r>
          </w:p>
          <w:p w14:paraId="6C554B59" w14:textId="6703848C" w:rsidR="007A4DDC" w:rsidRPr="002555DE" w:rsidRDefault="007A4DDC" w:rsidP="002555DE">
            <w:pPr>
              <w:overflowPunct/>
              <w:autoSpaceDE/>
              <w:autoSpaceDN/>
              <w:adjustRightInd/>
              <w:spacing w:after="200" w:line="276" w:lineRule="auto"/>
              <w:jc w:val="both"/>
              <w:rPr>
                <w:sz w:val="20"/>
                <w:lang w:eastAsia="en-US"/>
              </w:rPr>
            </w:pPr>
          </w:p>
        </w:tc>
        <w:tc>
          <w:tcPr>
            <w:tcW w:w="5030" w:type="dxa"/>
            <w:gridSpan w:val="3"/>
          </w:tcPr>
          <w:p w14:paraId="232C0845" w14:textId="77777777" w:rsidR="007A4DDC" w:rsidRPr="00301462" w:rsidRDefault="007A4DDC" w:rsidP="00C5549A">
            <w:pPr>
              <w:overflowPunct/>
              <w:autoSpaceDE/>
              <w:autoSpaceDN/>
              <w:adjustRightInd/>
              <w:jc w:val="both"/>
              <w:rPr>
                <w:sz w:val="20"/>
                <w:lang w:eastAsia="en-US"/>
              </w:rPr>
            </w:pPr>
            <w:r w:rsidRPr="00301462">
              <w:rPr>
                <w:sz w:val="20"/>
                <w:lang w:eastAsia="en-US"/>
              </w:rPr>
              <w:t>Форма заявки (приложение 1) Порядка:</w:t>
            </w:r>
          </w:p>
          <w:p w14:paraId="6B46099E" w14:textId="77777777" w:rsidR="007A4DDC" w:rsidRPr="00301462" w:rsidRDefault="007A4DDC" w:rsidP="00C5549A">
            <w:pPr>
              <w:overflowPunct/>
              <w:autoSpaceDE/>
              <w:autoSpaceDN/>
              <w:adjustRightInd/>
              <w:jc w:val="both"/>
              <w:rPr>
                <w:sz w:val="20"/>
                <w:lang w:eastAsia="en-US"/>
              </w:rPr>
            </w:pPr>
            <w:r w:rsidRPr="00301462">
              <w:rPr>
                <w:sz w:val="20"/>
                <w:lang w:eastAsia="en-US"/>
              </w:rPr>
              <w:t>п.16 заявки:</w:t>
            </w:r>
          </w:p>
          <w:p w14:paraId="78EBE855" w14:textId="74B59D5F" w:rsidR="007A4DDC" w:rsidRPr="00301462" w:rsidRDefault="007A4DDC" w:rsidP="00C5549A">
            <w:pPr>
              <w:overflowPunct/>
              <w:autoSpaceDE/>
              <w:autoSpaceDN/>
              <w:adjustRightInd/>
              <w:jc w:val="both"/>
              <w:rPr>
                <w:sz w:val="20"/>
                <w:lang w:eastAsia="en-US"/>
              </w:rPr>
            </w:pPr>
            <w:r w:rsidRPr="00301462">
              <w:rPr>
                <w:sz w:val="20"/>
                <w:lang w:eastAsia="en-US"/>
              </w:rPr>
              <w:t>-  включить требования к языку представления документов на русском языке и на английском языке (при необходимости);</w:t>
            </w:r>
          </w:p>
          <w:p w14:paraId="3F53CA0E" w14:textId="3D1F1F68" w:rsidR="007A4DDC" w:rsidRPr="00301462" w:rsidRDefault="007A4DDC" w:rsidP="00C5549A">
            <w:pPr>
              <w:overflowPunct/>
              <w:autoSpaceDE/>
              <w:autoSpaceDN/>
              <w:adjustRightInd/>
              <w:spacing w:after="200"/>
              <w:jc w:val="both"/>
              <w:rPr>
                <w:sz w:val="20"/>
                <w:lang w:eastAsia="en-US"/>
              </w:rPr>
            </w:pPr>
            <w:r w:rsidRPr="00301462">
              <w:rPr>
                <w:sz w:val="20"/>
                <w:lang w:eastAsia="en-US"/>
              </w:rPr>
              <w:t xml:space="preserve">- уточнить, почему  для лабораторий/инспекционных органов должен быть представлен – отчет об участии в  только </w:t>
            </w:r>
            <w:r w:rsidRPr="00301462">
              <w:rPr>
                <w:b/>
                <w:sz w:val="20"/>
                <w:u w:val="single"/>
                <w:lang w:eastAsia="en-US"/>
              </w:rPr>
              <w:t>международных программах проверки квалификации</w:t>
            </w:r>
            <w:r w:rsidRPr="00301462">
              <w:rPr>
                <w:sz w:val="20"/>
                <w:lang w:eastAsia="en-US"/>
              </w:rPr>
              <w:t xml:space="preserve"> за последние 2 года,  во- первых ППК проводятся национальными провайдерами, и во-вторых,  такого понятия как «международные программы проверки квалификации» не применяется на практике;</w:t>
            </w:r>
            <w:r w:rsidRPr="00301462">
              <w:rPr>
                <w:sz w:val="20"/>
                <w:lang w:eastAsia="en-US"/>
              </w:rPr>
              <w:br/>
              <w:t>- уточнить,  почему только  для испытательных и калибровочных лабораторий  должна быть представлена информация о доступных источниках прослеживаемости измерений, в этом случае,  как быть  с  медицинскими лабораториями по ISO 15189, провайдерами программ проверки квалификации по ISO/ IEC 17043, инспекционными органами по ISO/ IEC 17020 и др., которым  также устанавливается требования к метрологической прослеживаемости,  если органами  по аккредитации будут  заявлены  эти схемы для паритетной оценки. Также требование о представлении информации - например, перечня недавних международных сличениях, в которых принял участие национальный институт метрологии или назначенные институты и/или, если применимо, ссылка на калибровочные и измерительные возможности (СМС) национального института метрологии, опубликованные на сайте BIPM. КЦА это считает излишним требованием, поскольку вышеуказанные данные доступны каждой заинтересованной стороне;</w:t>
            </w:r>
            <w:r w:rsidRPr="00301462">
              <w:rPr>
                <w:sz w:val="20"/>
                <w:lang w:eastAsia="en-US"/>
              </w:rPr>
              <w:br/>
              <w:t xml:space="preserve">− «процедуры и политики, требуемые ISO/IEC 17011» после которого, необходимо дополнить словами «и документами </w:t>
            </w:r>
            <w:r w:rsidRPr="00301462">
              <w:rPr>
                <w:sz w:val="20"/>
                <w:lang w:val="en-US" w:eastAsia="en-US"/>
              </w:rPr>
              <w:t>IAF</w:t>
            </w:r>
            <w:r w:rsidRPr="00301462">
              <w:rPr>
                <w:sz w:val="20"/>
                <w:lang w:eastAsia="en-US"/>
              </w:rPr>
              <w:t>/</w:t>
            </w:r>
            <w:r w:rsidRPr="00301462">
              <w:rPr>
                <w:sz w:val="20"/>
                <w:lang w:val="en-US" w:eastAsia="en-US"/>
              </w:rPr>
              <w:t>ILAC</w:t>
            </w:r>
            <w:r w:rsidRPr="00301462">
              <w:rPr>
                <w:sz w:val="20"/>
                <w:lang w:eastAsia="en-US"/>
              </w:rPr>
              <w:t>»;</w:t>
            </w:r>
            <w:r w:rsidR="00F16F23">
              <w:rPr>
                <w:sz w:val="20"/>
                <w:lang w:eastAsia="en-US"/>
              </w:rPr>
              <w:t xml:space="preserve"> </w:t>
            </w:r>
          </w:p>
        </w:tc>
        <w:tc>
          <w:tcPr>
            <w:tcW w:w="2551" w:type="dxa"/>
          </w:tcPr>
          <w:p w14:paraId="0653A428" w14:textId="0CEC59DE" w:rsidR="007A4DDC" w:rsidRPr="00FB6027" w:rsidRDefault="007A4DDC" w:rsidP="007A4DDC">
            <w:pPr>
              <w:rPr>
                <w:b/>
                <w:sz w:val="20"/>
              </w:rPr>
            </w:pPr>
            <w:r w:rsidRPr="00FB6027">
              <w:rPr>
                <w:bCs/>
                <w:i/>
                <w:iCs/>
                <w:sz w:val="20"/>
              </w:rPr>
              <w:t>Предлагаем обсудить в рамках очередного заседания и принять</w:t>
            </w:r>
          </w:p>
        </w:tc>
        <w:tc>
          <w:tcPr>
            <w:tcW w:w="2126" w:type="dxa"/>
          </w:tcPr>
          <w:p w14:paraId="0C7B5321" w14:textId="345D9CC3" w:rsidR="007A4DDC" w:rsidRPr="00DA0043" w:rsidRDefault="007A4DDC" w:rsidP="007A4DDC">
            <w:pPr>
              <w:jc w:val="center"/>
              <w:rPr>
                <w:b/>
                <w:sz w:val="22"/>
                <w:szCs w:val="22"/>
              </w:rPr>
            </w:pPr>
          </w:p>
        </w:tc>
      </w:tr>
      <w:tr w:rsidR="00BA07A7" w:rsidRPr="00D1407F" w14:paraId="0D5F8943" w14:textId="77777777" w:rsidTr="00BA07A7">
        <w:trPr>
          <w:trHeight w:val="1396"/>
        </w:trPr>
        <w:tc>
          <w:tcPr>
            <w:tcW w:w="5030" w:type="dxa"/>
            <w:gridSpan w:val="4"/>
          </w:tcPr>
          <w:p w14:paraId="6C2F6A5A" w14:textId="77777777" w:rsidR="00BA07A7" w:rsidRPr="00BA07A7" w:rsidRDefault="00BA07A7" w:rsidP="00BA07A7">
            <w:pPr>
              <w:jc w:val="both"/>
              <w:rPr>
                <w:sz w:val="20"/>
              </w:rPr>
            </w:pPr>
            <w:r w:rsidRPr="00BA07A7">
              <w:rPr>
                <w:sz w:val="20"/>
              </w:rPr>
              <w:t>Форма заявки (приложение 1) Порядка:</w:t>
            </w:r>
          </w:p>
          <w:p w14:paraId="5E9351C0" w14:textId="720FE4BF" w:rsidR="00BA07A7" w:rsidRPr="002555DE" w:rsidRDefault="00BA07A7" w:rsidP="00BA07A7">
            <w:pPr>
              <w:jc w:val="both"/>
              <w:rPr>
                <w:sz w:val="20"/>
              </w:rPr>
            </w:pPr>
            <w:r w:rsidRPr="00BA07A7">
              <w:rPr>
                <w:sz w:val="20"/>
              </w:rPr>
              <w:t>П.18 Заполните Декларацию на следующей странице и перейдите к пункту 19</w:t>
            </w:r>
          </w:p>
        </w:tc>
        <w:tc>
          <w:tcPr>
            <w:tcW w:w="5030" w:type="dxa"/>
            <w:gridSpan w:val="3"/>
          </w:tcPr>
          <w:p w14:paraId="54B414FB" w14:textId="2D73BB2F" w:rsidR="00BA07A7" w:rsidRPr="00301462" w:rsidRDefault="00BA07A7" w:rsidP="00C5549A">
            <w:pPr>
              <w:overflowPunct/>
              <w:autoSpaceDE/>
              <w:autoSpaceDN/>
              <w:adjustRightInd/>
              <w:jc w:val="both"/>
              <w:rPr>
                <w:sz w:val="20"/>
                <w:lang w:eastAsia="en-US"/>
              </w:rPr>
            </w:pPr>
            <w:r w:rsidRPr="00BA07A7">
              <w:rPr>
                <w:sz w:val="20"/>
                <w:lang w:eastAsia="en-US"/>
              </w:rPr>
              <w:t>- уточнить, кем должна быть подана «Декларация заявителя на присоединение к Договоренности ЕААС».  КЦА предлагает для юридической ответственности, она должна быть подписана высшим руководством органа по аккредитации-заявителя паритетной оценки.</w:t>
            </w:r>
          </w:p>
        </w:tc>
        <w:tc>
          <w:tcPr>
            <w:tcW w:w="2551" w:type="dxa"/>
          </w:tcPr>
          <w:p w14:paraId="1B95C00C" w14:textId="6DA90400" w:rsidR="00BA07A7" w:rsidRPr="00FB6027" w:rsidRDefault="00736E45" w:rsidP="007A4DDC">
            <w:pPr>
              <w:rPr>
                <w:bCs/>
                <w:i/>
                <w:iCs/>
                <w:sz w:val="20"/>
              </w:rPr>
            </w:pPr>
            <w:r w:rsidRPr="00736E45">
              <w:rPr>
                <w:bCs/>
                <w:i/>
                <w:iCs/>
                <w:sz w:val="20"/>
              </w:rPr>
              <w:t>Предлагаем обсудить в рамках очередного заседания</w:t>
            </w:r>
          </w:p>
        </w:tc>
        <w:tc>
          <w:tcPr>
            <w:tcW w:w="2126" w:type="dxa"/>
          </w:tcPr>
          <w:p w14:paraId="5AF53E2F" w14:textId="77777777" w:rsidR="00BA07A7" w:rsidRPr="00DA0043" w:rsidRDefault="00BA07A7" w:rsidP="007A4DDC">
            <w:pPr>
              <w:jc w:val="center"/>
              <w:rPr>
                <w:b/>
                <w:sz w:val="22"/>
                <w:szCs w:val="22"/>
              </w:rPr>
            </w:pPr>
          </w:p>
        </w:tc>
      </w:tr>
      <w:tr w:rsidR="00692BA7" w:rsidRPr="00D1407F" w14:paraId="08ADC48E" w14:textId="77777777" w:rsidTr="005B6721">
        <w:trPr>
          <w:trHeight w:val="461"/>
        </w:trPr>
        <w:tc>
          <w:tcPr>
            <w:tcW w:w="14737" w:type="dxa"/>
            <w:gridSpan w:val="9"/>
          </w:tcPr>
          <w:p w14:paraId="57964694" w14:textId="51CD58AA" w:rsidR="00692BA7" w:rsidRPr="00DA0043" w:rsidRDefault="00692BA7" w:rsidP="00692BA7">
            <w:pPr>
              <w:jc w:val="center"/>
              <w:rPr>
                <w:b/>
                <w:sz w:val="22"/>
                <w:szCs w:val="22"/>
              </w:rPr>
            </w:pPr>
            <w:r w:rsidRPr="00DA0043">
              <w:rPr>
                <w:b/>
                <w:sz w:val="22"/>
                <w:szCs w:val="22"/>
              </w:rPr>
              <w:t>Республика Молдова</w:t>
            </w:r>
          </w:p>
          <w:p w14:paraId="3B1E8770" w14:textId="77777777" w:rsidR="00692BA7" w:rsidRPr="001E3168" w:rsidRDefault="00692BA7" w:rsidP="00692BA7">
            <w:pPr>
              <w:jc w:val="center"/>
              <w:rPr>
                <w:sz w:val="22"/>
                <w:szCs w:val="22"/>
              </w:rPr>
            </w:pPr>
            <w:r w:rsidRPr="001E3168">
              <w:rPr>
                <w:sz w:val="22"/>
                <w:szCs w:val="22"/>
              </w:rPr>
              <w:t xml:space="preserve">(письмо директора </w:t>
            </w:r>
            <w:r w:rsidRPr="001E3168">
              <w:rPr>
                <w:sz w:val="22"/>
                <w:szCs w:val="22"/>
                <w:lang w:val="en-US"/>
              </w:rPr>
              <w:t>MOLDAC</w:t>
            </w:r>
            <w:r w:rsidRPr="001E3168">
              <w:rPr>
                <w:sz w:val="22"/>
                <w:szCs w:val="22"/>
              </w:rPr>
              <w:t xml:space="preserve"> </w:t>
            </w:r>
            <w:proofErr w:type="spellStart"/>
            <w:r w:rsidRPr="001E3168">
              <w:rPr>
                <w:sz w:val="22"/>
                <w:szCs w:val="22"/>
              </w:rPr>
              <w:t>Е.Споялэ</w:t>
            </w:r>
            <w:proofErr w:type="spellEnd"/>
          </w:p>
          <w:p w14:paraId="1D3EAE34" w14:textId="77777777" w:rsidR="00692BA7" w:rsidRPr="00D1407F" w:rsidRDefault="00692BA7" w:rsidP="00692BA7">
            <w:pPr>
              <w:jc w:val="center"/>
              <w:rPr>
                <w:b/>
                <w:sz w:val="20"/>
              </w:rPr>
            </w:pPr>
            <w:r w:rsidRPr="001E3168">
              <w:rPr>
                <w:sz w:val="22"/>
                <w:szCs w:val="22"/>
              </w:rPr>
              <w:t>№ 24/495</w:t>
            </w:r>
            <w:r w:rsidRPr="001E3168">
              <w:rPr>
                <w:sz w:val="22"/>
                <w:szCs w:val="22"/>
                <w:lang w:val="en-US"/>
              </w:rPr>
              <w:t>DE</w:t>
            </w:r>
            <w:r w:rsidRPr="001E3168">
              <w:rPr>
                <w:sz w:val="22"/>
                <w:szCs w:val="22"/>
              </w:rPr>
              <w:t>-4 от 15.10.2021)</w:t>
            </w:r>
          </w:p>
        </w:tc>
      </w:tr>
      <w:tr w:rsidR="00F71B27" w:rsidRPr="00D1407F" w14:paraId="1058DD3D" w14:textId="77777777" w:rsidTr="00B0657E">
        <w:trPr>
          <w:trHeight w:val="461"/>
        </w:trPr>
        <w:tc>
          <w:tcPr>
            <w:tcW w:w="14737" w:type="dxa"/>
            <w:gridSpan w:val="9"/>
          </w:tcPr>
          <w:p w14:paraId="57EBE910" w14:textId="5E90B770" w:rsidR="00F71B27" w:rsidRPr="00DA0043" w:rsidRDefault="00F71B27" w:rsidP="00692BA7">
            <w:pPr>
              <w:jc w:val="center"/>
              <w:rPr>
                <w:b/>
                <w:sz w:val="22"/>
                <w:szCs w:val="22"/>
              </w:rPr>
            </w:pPr>
            <w:r w:rsidRPr="001E3168">
              <w:rPr>
                <w:sz w:val="22"/>
                <w:szCs w:val="22"/>
              </w:rPr>
              <w:t>Замечания отсутствуют</w:t>
            </w:r>
            <w:r>
              <w:rPr>
                <w:sz w:val="22"/>
                <w:szCs w:val="22"/>
              </w:rPr>
              <w:t>.</w:t>
            </w:r>
          </w:p>
        </w:tc>
      </w:tr>
      <w:tr w:rsidR="00692BA7" w:rsidRPr="00D1407F" w14:paraId="18887EE1" w14:textId="77777777" w:rsidTr="007813E4">
        <w:trPr>
          <w:trHeight w:val="461"/>
        </w:trPr>
        <w:tc>
          <w:tcPr>
            <w:tcW w:w="14737" w:type="dxa"/>
            <w:gridSpan w:val="9"/>
          </w:tcPr>
          <w:p w14:paraId="3C2C1925" w14:textId="63C6BF35" w:rsidR="00692BA7" w:rsidRDefault="00692BA7" w:rsidP="00692BA7">
            <w:pPr>
              <w:jc w:val="center"/>
              <w:rPr>
                <w:b/>
                <w:sz w:val="22"/>
                <w:szCs w:val="22"/>
              </w:rPr>
            </w:pPr>
            <w:r>
              <w:rPr>
                <w:b/>
                <w:sz w:val="22"/>
                <w:szCs w:val="22"/>
              </w:rPr>
              <w:t xml:space="preserve">Российская Федерация </w:t>
            </w:r>
          </w:p>
          <w:p w14:paraId="02CD6BD3" w14:textId="77777777" w:rsidR="00692BA7" w:rsidRPr="00CC7D97" w:rsidRDefault="00692BA7" w:rsidP="00692BA7">
            <w:pPr>
              <w:jc w:val="center"/>
              <w:rPr>
                <w:sz w:val="22"/>
                <w:szCs w:val="22"/>
              </w:rPr>
            </w:pPr>
            <w:r w:rsidRPr="00CC7D97">
              <w:rPr>
                <w:sz w:val="22"/>
                <w:szCs w:val="22"/>
              </w:rPr>
              <w:t xml:space="preserve">(письмо начальника Управления правового обеспечения и международного взаимодействия </w:t>
            </w:r>
            <w:proofErr w:type="spellStart"/>
            <w:r w:rsidRPr="00CC7D97">
              <w:rPr>
                <w:sz w:val="22"/>
                <w:szCs w:val="22"/>
              </w:rPr>
              <w:t>М.С.Пигалицына</w:t>
            </w:r>
            <w:proofErr w:type="spellEnd"/>
          </w:p>
          <w:p w14:paraId="1DAE26CA" w14:textId="77777777" w:rsidR="00692BA7" w:rsidRPr="00CC7D97" w:rsidRDefault="00692BA7" w:rsidP="00692BA7">
            <w:pPr>
              <w:jc w:val="center"/>
              <w:rPr>
                <w:sz w:val="22"/>
                <w:szCs w:val="22"/>
              </w:rPr>
            </w:pPr>
            <w:r w:rsidRPr="00CC7D97">
              <w:rPr>
                <w:sz w:val="22"/>
                <w:szCs w:val="22"/>
              </w:rPr>
              <w:t>№ 28633/05-МП от 11.10.2021</w:t>
            </w:r>
            <w:r>
              <w:rPr>
                <w:sz w:val="22"/>
                <w:szCs w:val="22"/>
              </w:rPr>
              <w:t xml:space="preserve"> со ссылкой на письмо </w:t>
            </w:r>
            <w:r w:rsidRPr="00CC7D97">
              <w:rPr>
                <w:sz w:val="22"/>
                <w:szCs w:val="22"/>
              </w:rPr>
              <w:t xml:space="preserve">заместителя руководителя </w:t>
            </w:r>
            <w:proofErr w:type="spellStart"/>
            <w:r w:rsidRPr="00CC7D97">
              <w:rPr>
                <w:sz w:val="22"/>
                <w:szCs w:val="22"/>
              </w:rPr>
              <w:t>Росаккредитации</w:t>
            </w:r>
            <w:proofErr w:type="spellEnd"/>
            <w:r w:rsidRPr="00CC7D97">
              <w:rPr>
                <w:sz w:val="22"/>
                <w:szCs w:val="22"/>
              </w:rPr>
              <w:t xml:space="preserve"> Д.В. Гоголева</w:t>
            </w:r>
          </w:p>
          <w:p w14:paraId="3D12E283" w14:textId="77777777" w:rsidR="00692BA7" w:rsidRPr="00DA0043" w:rsidRDefault="00692BA7" w:rsidP="00692BA7">
            <w:pPr>
              <w:jc w:val="center"/>
              <w:rPr>
                <w:b/>
                <w:sz w:val="22"/>
                <w:szCs w:val="22"/>
              </w:rPr>
            </w:pPr>
            <w:r w:rsidRPr="00CC7D97">
              <w:rPr>
                <w:sz w:val="22"/>
                <w:szCs w:val="22"/>
              </w:rPr>
              <w:t>№ 28488/05-ДГ от 08.10.2021)</w:t>
            </w:r>
          </w:p>
        </w:tc>
      </w:tr>
      <w:tr w:rsidR="00F71B27" w:rsidRPr="00D1407F" w14:paraId="05985570" w14:textId="77777777" w:rsidTr="00D55E5E">
        <w:trPr>
          <w:trHeight w:val="461"/>
        </w:trPr>
        <w:tc>
          <w:tcPr>
            <w:tcW w:w="14737" w:type="dxa"/>
            <w:gridSpan w:val="9"/>
          </w:tcPr>
          <w:p w14:paraId="1602A773" w14:textId="77777777" w:rsidR="00F71B27" w:rsidRPr="00656F6F" w:rsidRDefault="00F71B27" w:rsidP="00692BA7">
            <w:pPr>
              <w:overflowPunct/>
              <w:autoSpaceDE/>
              <w:autoSpaceDN/>
              <w:adjustRightInd/>
              <w:spacing w:afterLines="40" w:after="96"/>
              <w:ind w:firstLine="601"/>
              <w:jc w:val="both"/>
              <w:rPr>
                <w:rFonts w:eastAsia="Calibri"/>
                <w:sz w:val="22"/>
                <w:szCs w:val="22"/>
                <w:lang w:eastAsia="en-US"/>
              </w:rPr>
            </w:pPr>
            <w:r>
              <w:rPr>
                <w:rFonts w:eastAsia="Calibri"/>
                <w:sz w:val="22"/>
                <w:szCs w:val="22"/>
                <w:lang w:eastAsia="en-US"/>
              </w:rPr>
              <w:t>Замечания и предложения представлены не были в связи с тем</w:t>
            </w:r>
            <w:r w:rsidRPr="00656F6F">
              <w:rPr>
                <w:rFonts w:eastAsia="Calibri"/>
                <w:sz w:val="22"/>
                <w:szCs w:val="22"/>
                <w:lang w:eastAsia="en-US"/>
              </w:rPr>
              <w:t xml:space="preserve">, что в рамках исполнения решений, принятых на заседании Евразийского межправительственного совета 19-20 августа 2021 г. в г. </w:t>
            </w:r>
            <w:proofErr w:type="spellStart"/>
            <w:r w:rsidRPr="00656F6F">
              <w:rPr>
                <w:rFonts w:eastAsia="Calibri"/>
                <w:sz w:val="22"/>
                <w:szCs w:val="22"/>
                <w:lang w:eastAsia="en-US"/>
              </w:rPr>
              <w:t>Чолпон-Ата</w:t>
            </w:r>
            <w:proofErr w:type="spellEnd"/>
            <w:r w:rsidRPr="00656F6F">
              <w:rPr>
                <w:rFonts w:eastAsia="Calibri"/>
                <w:sz w:val="22"/>
                <w:szCs w:val="22"/>
                <w:lang w:eastAsia="en-US"/>
              </w:rPr>
              <w:t xml:space="preserve"> (Кыргызская Республика) Правительством Российской Федерации, в том числе сформировано соответствующее поручение в адрес причастных федеральных органов исполнительной власти РФ в части проработки вопроса создания региональной организации по аккредитации.</w:t>
            </w:r>
          </w:p>
          <w:p w14:paraId="7685C9B6" w14:textId="1FF964E7" w:rsidR="00F71B27" w:rsidRDefault="00F71B27" w:rsidP="00692BA7">
            <w:pPr>
              <w:rPr>
                <w:b/>
                <w:sz w:val="22"/>
                <w:szCs w:val="22"/>
              </w:rPr>
            </w:pPr>
          </w:p>
        </w:tc>
      </w:tr>
      <w:tr w:rsidR="00FC643B" w:rsidRPr="00D1407F" w14:paraId="40A1FDDD" w14:textId="77777777" w:rsidTr="003B7852">
        <w:trPr>
          <w:trHeight w:val="461"/>
        </w:trPr>
        <w:tc>
          <w:tcPr>
            <w:tcW w:w="14737" w:type="dxa"/>
            <w:gridSpan w:val="9"/>
          </w:tcPr>
          <w:p w14:paraId="40126927" w14:textId="5A42FF57" w:rsidR="00FC643B" w:rsidRDefault="00FC643B" w:rsidP="00692BA7">
            <w:pPr>
              <w:jc w:val="center"/>
              <w:rPr>
                <w:b/>
                <w:sz w:val="22"/>
                <w:szCs w:val="22"/>
              </w:rPr>
            </w:pPr>
            <w:r>
              <w:rPr>
                <w:b/>
                <w:sz w:val="22"/>
                <w:szCs w:val="22"/>
              </w:rPr>
              <w:t>Республика Таджикистан</w:t>
            </w:r>
          </w:p>
          <w:p w14:paraId="1D58D13D" w14:textId="77777777" w:rsidR="00FC643B" w:rsidRDefault="00FC643B" w:rsidP="00692BA7">
            <w:pPr>
              <w:jc w:val="center"/>
              <w:rPr>
                <w:b/>
                <w:sz w:val="22"/>
                <w:szCs w:val="22"/>
              </w:rPr>
            </w:pPr>
            <w:r>
              <w:rPr>
                <w:b/>
                <w:sz w:val="22"/>
                <w:szCs w:val="22"/>
              </w:rPr>
              <w:t xml:space="preserve">(письмо директора ГУ «Национальный центр по аккредитации» </w:t>
            </w:r>
            <w:proofErr w:type="spellStart"/>
            <w:r>
              <w:rPr>
                <w:b/>
                <w:sz w:val="22"/>
                <w:szCs w:val="22"/>
              </w:rPr>
              <w:t>Джумазода</w:t>
            </w:r>
            <w:proofErr w:type="spellEnd"/>
            <w:r>
              <w:rPr>
                <w:b/>
                <w:sz w:val="22"/>
                <w:szCs w:val="22"/>
              </w:rPr>
              <w:t xml:space="preserve"> Б.Х.</w:t>
            </w:r>
          </w:p>
          <w:p w14:paraId="735FE35B" w14:textId="77777777" w:rsidR="00FC643B" w:rsidRDefault="00FC643B" w:rsidP="00692BA7">
            <w:pPr>
              <w:jc w:val="center"/>
              <w:rPr>
                <w:b/>
                <w:sz w:val="22"/>
                <w:szCs w:val="22"/>
              </w:rPr>
            </w:pPr>
            <w:r>
              <w:rPr>
                <w:b/>
                <w:sz w:val="22"/>
                <w:szCs w:val="22"/>
              </w:rPr>
              <w:t>№ 35 от 14.10.2021)</w:t>
            </w:r>
          </w:p>
        </w:tc>
      </w:tr>
      <w:tr w:rsidR="00692BA7" w:rsidRPr="00D1407F" w14:paraId="251A5A10" w14:textId="77777777" w:rsidTr="00486D55">
        <w:trPr>
          <w:trHeight w:val="354"/>
        </w:trPr>
        <w:tc>
          <w:tcPr>
            <w:tcW w:w="14737" w:type="dxa"/>
            <w:gridSpan w:val="9"/>
          </w:tcPr>
          <w:p w14:paraId="673CDDEA" w14:textId="33F215E4" w:rsidR="00692BA7" w:rsidRPr="00D1407F" w:rsidRDefault="00692BA7" w:rsidP="00692BA7">
            <w:pPr>
              <w:jc w:val="center"/>
              <w:rPr>
                <w:b/>
                <w:sz w:val="20"/>
              </w:rPr>
            </w:pPr>
            <w:r w:rsidRPr="00DA0043">
              <w:rPr>
                <w:sz w:val="20"/>
              </w:rPr>
              <w:t>Замечаний и предложений не имеем</w:t>
            </w:r>
          </w:p>
        </w:tc>
      </w:tr>
      <w:tr w:rsidR="00FC643B" w:rsidRPr="00D1407F" w14:paraId="02148E54" w14:textId="77777777" w:rsidTr="000B54BD">
        <w:trPr>
          <w:trHeight w:val="461"/>
        </w:trPr>
        <w:tc>
          <w:tcPr>
            <w:tcW w:w="14737" w:type="dxa"/>
            <w:gridSpan w:val="9"/>
          </w:tcPr>
          <w:p w14:paraId="7EFDDB8B" w14:textId="19A21601" w:rsidR="00FC643B" w:rsidRPr="00DA0043" w:rsidRDefault="00FC643B" w:rsidP="00692BA7">
            <w:pPr>
              <w:jc w:val="center"/>
              <w:rPr>
                <w:b/>
                <w:sz w:val="22"/>
                <w:szCs w:val="22"/>
              </w:rPr>
            </w:pPr>
            <w:r w:rsidRPr="00DA0043">
              <w:rPr>
                <w:b/>
                <w:sz w:val="22"/>
                <w:szCs w:val="22"/>
              </w:rPr>
              <w:t>Туркменистан</w:t>
            </w:r>
          </w:p>
          <w:p w14:paraId="6BDC6B7D" w14:textId="77777777" w:rsidR="00FC643B" w:rsidRPr="00DA0043" w:rsidRDefault="00FC643B" w:rsidP="00692BA7">
            <w:pPr>
              <w:jc w:val="center"/>
              <w:rPr>
                <w:b/>
                <w:sz w:val="22"/>
                <w:szCs w:val="22"/>
              </w:rPr>
            </w:pPr>
            <w:r w:rsidRPr="00DA0043">
              <w:rPr>
                <w:b/>
                <w:sz w:val="22"/>
                <w:szCs w:val="22"/>
              </w:rPr>
              <w:t>(предложения не поступали)</w:t>
            </w:r>
          </w:p>
        </w:tc>
      </w:tr>
      <w:tr w:rsidR="00FC643B" w:rsidRPr="007067AE" w14:paraId="3F3083DC" w14:textId="77777777" w:rsidTr="00287E15">
        <w:trPr>
          <w:trHeight w:val="461"/>
        </w:trPr>
        <w:tc>
          <w:tcPr>
            <w:tcW w:w="14737" w:type="dxa"/>
            <w:gridSpan w:val="9"/>
          </w:tcPr>
          <w:p w14:paraId="69A4DFFD" w14:textId="0EA88116" w:rsidR="00FC643B" w:rsidRDefault="00FC643B" w:rsidP="00692BA7">
            <w:pPr>
              <w:jc w:val="center"/>
              <w:rPr>
                <w:b/>
                <w:sz w:val="22"/>
                <w:szCs w:val="22"/>
              </w:rPr>
            </w:pPr>
            <w:r w:rsidRPr="007067AE">
              <w:rPr>
                <w:b/>
                <w:sz w:val="22"/>
                <w:szCs w:val="22"/>
              </w:rPr>
              <w:t>Республика Узбекистан</w:t>
            </w:r>
          </w:p>
          <w:p w14:paraId="7531E4F2" w14:textId="77777777" w:rsidR="00FC643B" w:rsidRDefault="00FC643B" w:rsidP="00692BA7">
            <w:pPr>
              <w:jc w:val="center"/>
              <w:rPr>
                <w:sz w:val="22"/>
                <w:szCs w:val="22"/>
              </w:rPr>
            </w:pPr>
            <w:r>
              <w:rPr>
                <w:sz w:val="22"/>
                <w:szCs w:val="22"/>
              </w:rPr>
              <w:t>(</w:t>
            </w:r>
            <w:r w:rsidRPr="00C01D25">
              <w:rPr>
                <w:sz w:val="22"/>
                <w:szCs w:val="22"/>
              </w:rPr>
              <w:t>п</w:t>
            </w:r>
            <w:r>
              <w:rPr>
                <w:sz w:val="22"/>
                <w:szCs w:val="22"/>
              </w:rPr>
              <w:t>исьмо директора ГУП «Центр по аккредитации» А.</w:t>
            </w:r>
            <w:r w:rsidRPr="00A279B4">
              <w:rPr>
                <w:sz w:val="22"/>
                <w:szCs w:val="22"/>
              </w:rPr>
              <w:t xml:space="preserve"> </w:t>
            </w:r>
            <w:r>
              <w:rPr>
                <w:sz w:val="22"/>
                <w:szCs w:val="22"/>
              </w:rPr>
              <w:t>Закирова</w:t>
            </w:r>
          </w:p>
          <w:p w14:paraId="1629084F" w14:textId="77777777" w:rsidR="00FC643B" w:rsidRPr="007067AE" w:rsidRDefault="00FC643B" w:rsidP="00692BA7">
            <w:pPr>
              <w:jc w:val="center"/>
              <w:rPr>
                <w:sz w:val="22"/>
                <w:szCs w:val="22"/>
              </w:rPr>
            </w:pPr>
            <w:r>
              <w:rPr>
                <w:sz w:val="22"/>
                <w:szCs w:val="22"/>
              </w:rPr>
              <w:t>№</w:t>
            </w:r>
            <w:r w:rsidRPr="00F452E3">
              <w:rPr>
                <w:sz w:val="22"/>
                <w:szCs w:val="22"/>
              </w:rPr>
              <w:t xml:space="preserve"> 01/</w:t>
            </w:r>
            <w:r>
              <w:rPr>
                <w:sz w:val="22"/>
                <w:szCs w:val="22"/>
              </w:rPr>
              <w:t>2192</w:t>
            </w:r>
            <w:r w:rsidRPr="00F452E3">
              <w:rPr>
                <w:sz w:val="22"/>
                <w:szCs w:val="22"/>
              </w:rPr>
              <w:t xml:space="preserve"> от </w:t>
            </w:r>
            <w:r>
              <w:rPr>
                <w:sz w:val="22"/>
                <w:szCs w:val="22"/>
              </w:rPr>
              <w:t>30</w:t>
            </w:r>
            <w:r w:rsidRPr="00F452E3">
              <w:rPr>
                <w:sz w:val="22"/>
                <w:szCs w:val="22"/>
              </w:rPr>
              <w:t>.0</w:t>
            </w:r>
            <w:r>
              <w:rPr>
                <w:sz w:val="22"/>
                <w:szCs w:val="22"/>
              </w:rPr>
              <w:t>9</w:t>
            </w:r>
            <w:r w:rsidRPr="00F452E3">
              <w:rPr>
                <w:sz w:val="22"/>
                <w:szCs w:val="22"/>
              </w:rPr>
              <w:t>.2021</w:t>
            </w:r>
            <w:r>
              <w:rPr>
                <w:sz w:val="22"/>
                <w:szCs w:val="22"/>
              </w:rPr>
              <w:t xml:space="preserve">) </w:t>
            </w:r>
          </w:p>
        </w:tc>
      </w:tr>
      <w:tr w:rsidR="00692BA7" w:rsidRPr="007067AE" w14:paraId="58D4E317" w14:textId="77777777" w:rsidTr="005830A1">
        <w:trPr>
          <w:trHeight w:val="461"/>
        </w:trPr>
        <w:tc>
          <w:tcPr>
            <w:tcW w:w="988" w:type="dxa"/>
            <w:vAlign w:val="center"/>
          </w:tcPr>
          <w:p w14:paraId="433F5B80" w14:textId="5E903CC3" w:rsidR="00692BA7" w:rsidRPr="00EB254F" w:rsidRDefault="00692BA7" w:rsidP="005830A1">
            <w:pPr>
              <w:jc w:val="center"/>
              <w:rPr>
                <w:sz w:val="20"/>
              </w:rPr>
            </w:pPr>
            <w:r w:rsidRPr="00EB254F">
              <w:rPr>
                <w:sz w:val="20"/>
              </w:rPr>
              <w:t>Структурный элемент</w:t>
            </w:r>
          </w:p>
        </w:tc>
        <w:tc>
          <w:tcPr>
            <w:tcW w:w="3531" w:type="dxa"/>
            <w:gridSpan w:val="2"/>
            <w:vAlign w:val="center"/>
          </w:tcPr>
          <w:p w14:paraId="70A60966" w14:textId="77777777" w:rsidR="00692BA7" w:rsidRPr="00EB254F" w:rsidRDefault="00692BA7" w:rsidP="005830A1">
            <w:pPr>
              <w:ind w:firstLine="183"/>
              <w:jc w:val="center"/>
              <w:rPr>
                <w:sz w:val="20"/>
              </w:rPr>
            </w:pPr>
            <w:r w:rsidRPr="00EB254F">
              <w:rPr>
                <w:sz w:val="20"/>
              </w:rPr>
              <w:t>Существующая редакция</w:t>
            </w:r>
          </w:p>
        </w:tc>
        <w:tc>
          <w:tcPr>
            <w:tcW w:w="3414" w:type="dxa"/>
            <w:gridSpan w:val="3"/>
            <w:vAlign w:val="center"/>
          </w:tcPr>
          <w:p w14:paraId="2CC38E55" w14:textId="77777777" w:rsidR="00692BA7" w:rsidRPr="00EB254F" w:rsidRDefault="00692BA7" w:rsidP="005830A1">
            <w:pPr>
              <w:jc w:val="center"/>
              <w:rPr>
                <w:sz w:val="20"/>
              </w:rPr>
            </w:pPr>
            <w:r w:rsidRPr="00EB254F">
              <w:rPr>
                <w:sz w:val="20"/>
              </w:rPr>
              <w:t>Предлагаемая редакция</w:t>
            </w:r>
          </w:p>
        </w:tc>
        <w:tc>
          <w:tcPr>
            <w:tcW w:w="2127" w:type="dxa"/>
            <w:vAlign w:val="center"/>
          </w:tcPr>
          <w:p w14:paraId="65382B84" w14:textId="77777777" w:rsidR="00692BA7" w:rsidRPr="00EB254F" w:rsidRDefault="00692BA7" w:rsidP="005830A1">
            <w:pPr>
              <w:jc w:val="center"/>
              <w:rPr>
                <w:bCs/>
                <w:sz w:val="20"/>
              </w:rPr>
            </w:pPr>
            <w:r w:rsidRPr="00EB254F">
              <w:rPr>
                <w:bCs/>
                <w:sz w:val="20"/>
              </w:rPr>
              <w:t>Обоснование</w:t>
            </w:r>
          </w:p>
        </w:tc>
        <w:tc>
          <w:tcPr>
            <w:tcW w:w="2551" w:type="dxa"/>
            <w:vAlign w:val="center"/>
          </w:tcPr>
          <w:p w14:paraId="7D647E32" w14:textId="4444EED1" w:rsidR="00CC6903" w:rsidRPr="00EB254F" w:rsidRDefault="004D3B9D" w:rsidP="005830A1">
            <w:pPr>
              <w:jc w:val="center"/>
              <w:rPr>
                <w:bCs/>
                <w:sz w:val="20"/>
              </w:rPr>
            </w:pPr>
            <w:r w:rsidRPr="00EB254F">
              <w:rPr>
                <w:bCs/>
                <w:sz w:val="20"/>
              </w:rPr>
              <w:t>Позиция</w:t>
            </w:r>
          </w:p>
          <w:p w14:paraId="69030BFF" w14:textId="134A44BE" w:rsidR="00692BA7" w:rsidRPr="00EB254F" w:rsidRDefault="00CC6903" w:rsidP="005830A1">
            <w:pPr>
              <w:jc w:val="center"/>
              <w:rPr>
                <w:b/>
                <w:sz w:val="20"/>
              </w:rPr>
            </w:pPr>
            <w:r w:rsidRPr="00EB254F">
              <w:rPr>
                <w:bCs/>
                <w:sz w:val="20"/>
              </w:rPr>
              <w:t>разработчика</w:t>
            </w:r>
          </w:p>
        </w:tc>
        <w:tc>
          <w:tcPr>
            <w:tcW w:w="2126" w:type="dxa"/>
            <w:vAlign w:val="center"/>
          </w:tcPr>
          <w:p w14:paraId="36EA6296" w14:textId="0689EF7F" w:rsidR="00692BA7" w:rsidRPr="00EB254F" w:rsidRDefault="001B33F9" w:rsidP="005830A1">
            <w:pPr>
              <w:jc w:val="center"/>
              <w:rPr>
                <w:b/>
                <w:sz w:val="20"/>
              </w:rPr>
            </w:pPr>
            <w:r w:rsidRPr="00EB254F">
              <w:rPr>
                <w:rFonts w:ascii="Times New Roman CYR" w:hAnsi="Times New Roman CYR"/>
                <w:sz w:val="20"/>
              </w:rPr>
              <w:t>Мнение</w:t>
            </w:r>
            <w:r w:rsidRPr="00EB254F">
              <w:rPr>
                <w:rFonts w:ascii="Times New Roman CYR" w:hAnsi="Times New Roman CYR"/>
                <w:sz w:val="20"/>
              </w:rPr>
              <w:br/>
              <w:t>14-го заседания РГ РОА</w:t>
            </w:r>
          </w:p>
        </w:tc>
      </w:tr>
      <w:tr w:rsidR="00692BA7" w:rsidRPr="007067AE" w14:paraId="4D901794" w14:textId="77777777" w:rsidTr="005830A1">
        <w:trPr>
          <w:trHeight w:val="461"/>
        </w:trPr>
        <w:tc>
          <w:tcPr>
            <w:tcW w:w="988" w:type="dxa"/>
            <w:vAlign w:val="center"/>
          </w:tcPr>
          <w:p w14:paraId="7A18D7F2" w14:textId="77777777" w:rsidR="00692BA7" w:rsidRPr="002B3564" w:rsidRDefault="00692BA7" w:rsidP="00692BA7">
            <w:pPr>
              <w:jc w:val="center"/>
              <w:rPr>
                <w:sz w:val="22"/>
              </w:rPr>
            </w:pPr>
            <w:r>
              <w:rPr>
                <w:sz w:val="22"/>
              </w:rPr>
              <w:t>В целом по тексту</w:t>
            </w:r>
          </w:p>
        </w:tc>
        <w:tc>
          <w:tcPr>
            <w:tcW w:w="3531" w:type="dxa"/>
            <w:gridSpan w:val="2"/>
          </w:tcPr>
          <w:p w14:paraId="26216304" w14:textId="77777777" w:rsidR="00692BA7" w:rsidRPr="002B3F56" w:rsidRDefault="00692BA7" w:rsidP="00692BA7">
            <w:pPr>
              <w:spacing w:after="60"/>
              <w:ind w:firstLine="38"/>
              <w:jc w:val="both"/>
              <w:rPr>
                <w:sz w:val="22"/>
              </w:rPr>
            </w:pPr>
            <w:r>
              <w:rPr>
                <w:sz w:val="22"/>
              </w:rPr>
              <w:t xml:space="preserve">Совета по Договоренности </w:t>
            </w:r>
            <w:r>
              <w:rPr>
                <w:sz w:val="22"/>
                <w:lang w:val="en-US"/>
              </w:rPr>
              <w:t>EAAC</w:t>
            </w:r>
            <w:r w:rsidRPr="002B3F56">
              <w:rPr>
                <w:sz w:val="22"/>
              </w:rPr>
              <w:t xml:space="preserve"> </w:t>
            </w:r>
            <w:r>
              <w:rPr>
                <w:sz w:val="22"/>
              </w:rPr>
              <w:t xml:space="preserve">(1.2), Совет </w:t>
            </w:r>
            <w:r>
              <w:rPr>
                <w:sz w:val="22"/>
                <w:lang w:val="en-US"/>
              </w:rPr>
              <w:t>EAAC</w:t>
            </w:r>
            <w:r w:rsidRPr="002B3F56">
              <w:rPr>
                <w:sz w:val="22"/>
              </w:rPr>
              <w:t xml:space="preserve"> </w:t>
            </w:r>
            <w:r>
              <w:rPr>
                <w:sz w:val="22"/>
              </w:rPr>
              <w:t>по Договоренности (2.2.2.1), Совета по Договоренности (п. 7.2)</w:t>
            </w:r>
          </w:p>
        </w:tc>
        <w:tc>
          <w:tcPr>
            <w:tcW w:w="3414" w:type="dxa"/>
            <w:gridSpan w:val="3"/>
          </w:tcPr>
          <w:p w14:paraId="69E04CEB" w14:textId="77777777" w:rsidR="00692BA7" w:rsidRPr="002B3F56" w:rsidRDefault="00692BA7" w:rsidP="00692BA7">
            <w:pPr>
              <w:ind w:firstLine="183"/>
              <w:jc w:val="both"/>
              <w:rPr>
                <w:sz w:val="22"/>
              </w:rPr>
            </w:pPr>
            <w:r>
              <w:rPr>
                <w:sz w:val="22"/>
              </w:rPr>
              <w:t xml:space="preserve">Унифицировать название Совета и представить его название согласно утвержденной редакции Устава </w:t>
            </w:r>
            <w:r>
              <w:rPr>
                <w:sz w:val="22"/>
                <w:lang w:val="en-US"/>
              </w:rPr>
              <w:t>EAAC</w:t>
            </w:r>
            <w:r w:rsidRPr="002B3F56">
              <w:rPr>
                <w:sz w:val="22"/>
              </w:rPr>
              <w:t xml:space="preserve"> </w:t>
            </w:r>
            <w:r>
              <w:rPr>
                <w:sz w:val="22"/>
              </w:rPr>
              <w:t>–</w:t>
            </w:r>
            <w:r w:rsidRPr="002B3F56">
              <w:rPr>
                <w:sz w:val="22"/>
              </w:rPr>
              <w:t xml:space="preserve"> </w:t>
            </w:r>
            <w:r>
              <w:rPr>
                <w:sz w:val="22"/>
              </w:rPr>
              <w:t>«Совет по договоренности»</w:t>
            </w:r>
          </w:p>
        </w:tc>
        <w:tc>
          <w:tcPr>
            <w:tcW w:w="2127" w:type="dxa"/>
          </w:tcPr>
          <w:p w14:paraId="5CF3C39D" w14:textId="77777777" w:rsidR="00692BA7" w:rsidRPr="002B3564" w:rsidRDefault="00692BA7" w:rsidP="00692BA7">
            <w:pPr>
              <w:ind w:firstLine="183"/>
              <w:jc w:val="both"/>
              <w:rPr>
                <w:sz w:val="22"/>
              </w:rPr>
            </w:pPr>
            <w:r>
              <w:rPr>
                <w:sz w:val="22"/>
              </w:rPr>
              <w:t>В целях уточнения редакции</w:t>
            </w:r>
          </w:p>
        </w:tc>
        <w:tc>
          <w:tcPr>
            <w:tcW w:w="2551" w:type="dxa"/>
          </w:tcPr>
          <w:p w14:paraId="7D0C5942" w14:textId="235E160F" w:rsidR="00692BA7" w:rsidRPr="007067AE" w:rsidRDefault="00CC6903" w:rsidP="00CC6903">
            <w:pPr>
              <w:rPr>
                <w:b/>
                <w:sz w:val="22"/>
                <w:szCs w:val="22"/>
              </w:rPr>
            </w:pPr>
            <w:r w:rsidRPr="00FB6027">
              <w:rPr>
                <w:bCs/>
                <w:i/>
                <w:iCs/>
                <w:sz w:val="20"/>
              </w:rPr>
              <w:t>Предлагаем обсудить в рамках очередного заседания и принять</w:t>
            </w:r>
          </w:p>
        </w:tc>
        <w:tc>
          <w:tcPr>
            <w:tcW w:w="2126" w:type="dxa"/>
          </w:tcPr>
          <w:p w14:paraId="0EA43BA0" w14:textId="34F02D73" w:rsidR="00692BA7" w:rsidRPr="007067AE" w:rsidRDefault="00692BA7" w:rsidP="00692BA7">
            <w:pPr>
              <w:jc w:val="center"/>
              <w:rPr>
                <w:b/>
                <w:sz w:val="22"/>
                <w:szCs w:val="22"/>
              </w:rPr>
            </w:pPr>
          </w:p>
        </w:tc>
      </w:tr>
      <w:tr w:rsidR="00692BA7" w:rsidRPr="007067AE" w14:paraId="33B6A8F0" w14:textId="77777777" w:rsidTr="005830A1">
        <w:trPr>
          <w:trHeight w:val="461"/>
        </w:trPr>
        <w:tc>
          <w:tcPr>
            <w:tcW w:w="988" w:type="dxa"/>
            <w:vAlign w:val="center"/>
          </w:tcPr>
          <w:p w14:paraId="2BE57A49" w14:textId="77777777" w:rsidR="00692BA7" w:rsidRPr="002B3564" w:rsidRDefault="00692BA7" w:rsidP="00692BA7">
            <w:pPr>
              <w:jc w:val="center"/>
              <w:rPr>
                <w:sz w:val="22"/>
              </w:rPr>
            </w:pPr>
            <w:r>
              <w:rPr>
                <w:sz w:val="22"/>
              </w:rPr>
              <w:t>П.1.3</w:t>
            </w:r>
          </w:p>
        </w:tc>
        <w:tc>
          <w:tcPr>
            <w:tcW w:w="3531" w:type="dxa"/>
            <w:gridSpan w:val="2"/>
          </w:tcPr>
          <w:p w14:paraId="1D90FD1E" w14:textId="77777777" w:rsidR="00692BA7" w:rsidRPr="002B3F56" w:rsidRDefault="00692BA7" w:rsidP="00692BA7">
            <w:pPr>
              <w:jc w:val="both"/>
              <w:rPr>
                <w:sz w:val="22"/>
                <w:lang w:val="en-US"/>
              </w:rPr>
            </w:pPr>
            <w:r>
              <w:rPr>
                <w:sz w:val="22"/>
              </w:rPr>
              <w:t>1.3 Термины, определения и сокращения</w:t>
            </w:r>
          </w:p>
        </w:tc>
        <w:tc>
          <w:tcPr>
            <w:tcW w:w="3414" w:type="dxa"/>
            <w:gridSpan w:val="3"/>
          </w:tcPr>
          <w:p w14:paraId="5E4B1D05" w14:textId="77777777" w:rsidR="00692BA7" w:rsidRPr="002B3564" w:rsidRDefault="00692BA7" w:rsidP="00692BA7">
            <w:pPr>
              <w:ind w:firstLine="183"/>
              <w:jc w:val="both"/>
              <w:rPr>
                <w:sz w:val="22"/>
              </w:rPr>
            </w:pPr>
            <w:r>
              <w:rPr>
                <w:sz w:val="22"/>
              </w:rPr>
              <w:t>Предлагается из названия исключить слово «Термины», и представить в следующей редакции «Сокращения и определения»</w:t>
            </w:r>
          </w:p>
        </w:tc>
        <w:tc>
          <w:tcPr>
            <w:tcW w:w="2127" w:type="dxa"/>
            <w:shd w:val="clear" w:color="auto" w:fill="auto"/>
          </w:tcPr>
          <w:p w14:paraId="02A540B5" w14:textId="77777777" w:rsidR="00692BA7" w:rsidRPr="002B3564" w:rsidRDefault="00692BA7" w:rsidP="00692BA7">
            <w:pPr>
              <w:spacing w:after="60"/>
              <w:jc w:val="both"/>
              <w:rPr>
                <w:sz w:val="22"/>
              </w:rPr>
            </w:pPr>
            <w:r>
              <w:rPr>
                <w:sz w:val="22"/>
              </w:rPr>
              <w:t>В связи с отсутствием терминов в данном разделе документов</w:t>
            </w:r>
          </w:p>
        </w:tc>
        <w:tc>
          <w:tcPr>
            <w:tcW w:w="2551" w:type="dxa"/>
          </w:tcPr>
          <w:p w14:paraId="0BC02A2B" w14:textId="03596ED5" w:rsidR="00692BA7" w:rsidRPr="007067AE" w:rsidRDefault="00817F1F" w:rsidP="00817F1F">
            <w:pPr>
              <w:rPr>
                <w:b/>
                <w:sz w:val="22"/>
                <w:szCs w:val="22"/>
              </w:rPr>
            </w:pPr>
            <w:r w:rsidRPr="00FB6027">
              <w:rPr>
                <w:bCs/>
                <w:i/>
                <w:iCs/>
                <w:sz w:val="20"/>
              </w:rPr>
              <w:t>Предлагаем обсудить в рамках очередного заседания</w:t>
            </w:r>
          </w:p>
        </w:tc>
        <w:tc>
          <w:tcPr>
            <w:tcW w:w="2126" w:type="dxa"/>
          </w:tcPr>
          <w:p w14:paraId="18B004D9" w14:textId="5DC939ED" w:rsidR="00692BA7" w:rsidRPr="007067AE" w:rsidRDefault="00692BA7" w:rsidP="00692BA7">
            <w:pPr>
              <w:jc w:val="center"/>
              <w:rPr>
                <w:b/>
                <w:sz w:val="22"/>
                <w:szCs w:val="22"/>
              </w:rPr>
            </w:pPr>
          </w:p>
        </w:tc>
      </w:tr>
      <w:tr w:rsidR="00692BA7" w:rsidRPr="007067AE" w14:paraId="6CEE4F4F" w14:textId="77777777" w:rsidTr="005830A1">
        <w:trPr>
          <w:trHeight w:val="461"/>
        </w:trPr>
        <w:tc>
          <w:tcPr>
            <w:tcW w:w="988" w:type="dxa"/>
            <w:vAlign w:val="center"/>
          </w:tcPr>
          <w:p w14:paraId="017BE133" w14:textId="77777777" w:rsidR="00692BA7" w:rsidRPr="002B3564" w:rsidRDefault="00692BA7" w:rsidP="00692BA7">
            <w:pPr>
              <w:jc w:val="center"/>
              <w:rPr>
                <w:sz w:val="22"/>
              </w:rPr>
            </w:pPr>
            <w:r>
              <w:rPr>
                <w:sz w:val="22"/>
              </w:rPr>
              <w:t>П. 4.9</w:t>
            </w:r>
          </w:p>
        </w:tc>
        <w:tc>
          <w:tcPr>
            <w:tcW w:w="3531" w:type="dxa"/>
            <w:gridSpan w:val="2"/>
          </w:tcPr>
          <w:p w14:paraId="087B051F" w14:textId="77777777" w:rsidR="00692BA7" w:rsidRPr="002B3F56" w:rsidRDefault="00692BA7" w:rsidP="00692BA7">
            <w:pPr>
              <w:spacing w:after="60"/>
              <w:ind w:firstLine="38"/>
              <w:jc w:val="both"/>
              <w:rPr>
                <w:sz w:val="22"/>
              </w:rPr>
            </w:pPr>
            <w:r>
              <w:rPr>
                <w:sz w:val="22"/>
              </w:rPr>
              <w:t>п</w:t>
            </w:r>
            <w:r w:rsidRPr="002B3F56">
              <w:rPr>
                <w:sz w:val="22"/>
              </w:rPr>
              <w:t xml:space="preserve">роведение </w:t>
            </w:r>
            <w:r>
              <w:rPr>
                <w:sz w:val="22"/>
              </w:rPr>
              <w:t>оценки (на месте и/или применение удаленных техник оценки);</w:t>
            </w:r>
          </w:p>
        </w:tc>
        <w:tc>
          <w:tcPr>
            <w:tcW w:w="3414" w:type="dxa"/>
            <w:gridSpan w:val="3"/>
          </w:tcPr>
          <w:p w14:paraId="72803473" w14:textId="77777777" w:rsidR="00692BA7" w:rsidRPr="002B3F56" w:rsidRDefault="00692BA7" w:rsidP="00692BA7">
            <w:pPr>
              <w:ind w:firstLine="183"/>
              <w:jc w:val="both"/>
              <w:rPr>
                <w:sz w:val="22"/>
              </w:rPr>
            </w:pPr>
            <w:r w:rsidRPr="002B3F56">
              <w:rPr>
                <w:sz w:val="22"/>
              </w:rPr>
              <w:t>Представить в следующей редакции: проведение оценки (на месте и/или применение техник удаленной оценки);</w:t>
            </w:r>
          </w:p>
        </w:tc>
        <w:tc>
          <w:tcPr>
            <w:tcW w:w="2127" w:type="dxa"/>
            <w:shd w:val="clear" w:color="auto" w:fill="auto"/>
          </w:tcPr>
          <w:p w14:paraId="3B692257" w14:textId="77777777" w:rsidR="00692BA7" w:rsidRPr="002B3564" w:rsidRDefault="00692BA7" w:rsidP="00692BA7">
            <w:pPr>
              <w:ind w:firstLine="183"/>
              <w:jc w:val="both"/>
              <w:rPr>
                <w:sz w:val="22"/>
              </w:rPr>
            </w:pPr>
          </w:p>
        </w:tc>
        <w:tc>
          <w:tcPr>
            <w:tcW w:w="2551" w:type="dxa"/>
          </w:tcPr>
          <w:p w14:paraId="37F2D56B" w14:textId="2DF4A056" w:rsidR="00692BA7" w:rsidRPr="00817F1F" w:rsidRDefault="00817F1F" w:rsidP="00692BA7">
            <w:pPr>
              <w:jc w:val="center"/>
              <w:rPr>
                <w:bCs/>
                <w:i/>
                <w:iCs/>
                <w:sz w:val="20"/>
              </w:rPr>
            </w:pPr>
            <w:r w:rsidRPr="00817F1F">
              <w:rPr>
                <w:bCs/>
                <w:i/>
                <w:iCs/>
                <w:sz w:val="20"/>
              </w:rPr>
              <w:t>Принято разработчиком</w:t>
            </w:r>
          </w:p>
        </w:tc>
        <w:tc>
          <w:tcPr>
            <w:tcW w:w="2126" w:type="dxa"/>
          </w:tcPr>
          <w:p w14:paraId="4B573DE5" w14:textId="661E6AC4" w:rsidR="00692BA7" w:rsidRPr="007067AE" w:rsidRDefault="00692BA7" w:rsidP="00692BA7">
            <w:pPr>
              <w:jc w:val="center"/>
              <w:rPr>
                <w:b/>
                <w:sz w:val="22"/>
                <w:szCs w:val="22"/>
              </w:rPr>
            </w:pPr>
          </w:p>
        </w:tc>
      </w:tr>
      <w:tr w:rsidR="00692BA7" w:rsidRPr="007067AE" w14:paraId="7B4E42D9" w14:textId="77777777" w:rsidTr="00241014">
        <w:trPr>
          <w:trHeight w:val="461"/>
        </w:trPr>
        <w:tc>
          <w:tcPr>
            <w:tcW w:w="14737" w:type="dxa"/>
            <w:gridSpan w:val="9"/>
          </w:tcPr>
          <w:p w14:paraId="0D6570BB" w14:textId="79F23924" w:rsidR="00692BA7" w:rsidRDefault="00692BA7" w:rsidP="00692BA7">
            <w:pPr>
              <w:jc w:val="center"/>
              <w:rPr>
                <w:b/>
                <w:sz w:val="22"/>
                <w:szCs w:val="22"/>
              </w:rPr>
            </w:pPr>
            <w:r>
              <w:rPr>
                <w:b/>
                <w:sz w:val="22"/>
                <w:szCs w:val="22"/>
              </w:rPr>
              <w:t>Украина</w:t>
            </w:r>
          </w:p>
          <w:p w14:paraId="07A2601F" w14:textId="77777777" w:rsidR="00692BA7" w:rsidRPr="008A6945" w:rsidRDefault="00692BA7" w:rsidP="00692BA7">
            <w:pPr>
              <w:jc w:val="center"/>
              <w:rPr>
                <w:sz w:val="22"/>
                <w:szCs w:val="22"/>
              </w:rPr>
            </w:pPr>
            <w:r w:rsidRPr="008A6945">
              <w:rPr>
                <w:sz w:val="22"/>
                <w:szCs w:val="22"/>
              </w:rPr>
              <w:t>(предложения не поступали)</w:t>
            </w:r>
          </w:p>
        </w:tc>
      </w:tr>
    </w:tbl>
    <w:p w14:paraId="04678AE1" w14:textId="77777777" w:rsidR="00EE356C" w:rsidRDefault="00EE356C" w:rsidP="00EE356C">
      <w:pPr>
        <w:rPr>
          <w:sz w:val="22"/>
          <w:szCs w:val="22"/>
        </w:rPr>
      </w:pPr>
    </w:p>
    <w:sectPr w:rsidR="00EE356C" w:rsidSect="004266EC">
      <w:headerReference w:type="default" r:id="rId8"/>
      <w:footerReference w:type="default" r:id="rId9"/>
      <w:pgSz w:w="16838" w:h="11906" w:orient="landscape"/>
      <w:pgMar w:top="1134" w:right="2096" w:bottom="993" w:left="1701" w:header="708" w:footer="24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D9E6" w14:textId="77777777" w:rsidR="001F62C5" w:rsidRDefault="001F62C5" w:rsidP="00E97949">
      <w:r>
        <w:separator/>
      </w:r>
    </w:p>
  </w:endnote>
  <w:endnote w:type="continuationSeparator" w:id="0">
    <w:p w14:paraId="52D95360" w14:textId="77777777" w:rsidR="001F62C5" w:rsidRDefault="001F62C5" w:rsidP="00E97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F2792" w14:textId="4333C9F3" w:rsidR="00413336" w:rsidRPr="002B7D5D" w:rsidRDefault="00413336" w:rsidP="004D32AC">
    <w:pPr>
      <w:pStyle w:val="a7"/>
      <w:tabs>
        <w:tab w:val="clear" w:pos="4677"/>
        <w:tab w:val="clear" w:pos="9355"/>
        <w:tab w:val="left" w:pos="5640"/>
      </w:tabs>
      <w:rPr>
        <w:sz w:val="20"/>
      </w:rPr>
    </w:pPr>
    <w:r w:rsidRPr="002B7D5D">
      <w:rPr>
        <w:sz w:val="20"/>
      </w:rPr>
      <w:t xml:space="preserve">Приложение № </w:t>
    </w:r>
    <w:r w:rsidR="004D32AC">
      <w:rPr>
        <w:sz w:val="20"/>
      </w:rPr>
      <w:t>5</w:t>
    </w:r>
    <w:r w:rsidRPr="002B7D5D">
      <w:rPr>
        <w:sz w:val="20"/>
      </w:rPr>
      <w:t xml:space="preserve"> к протоколу РГ РОА № </w:t>
    </w:r>
    <w:r w:rsidR="00804804">
      <w:rPr>
        <w:sz w:val="20"/>
      </w:rPr>
      <w:t>1</w:t>
    </w:r>
    <w:r w:rsidR="00694637">
      <w:rPr>
        <w:sz w:val="20"/>
      </w:rPr>
      <w:t>4</w:t>
    </w:r>
    <w:r w:rsidRPr="002B7D5D">
      <w:rPr>
        <w:sz w:val="20"/>
      </w:rPr>
      <w:t>-20</w:t>
    </w:r>
    <w:r w:rsidR="00694637">
      <w:rPr>
        <w:sz w:val="20"/>
      </w:rPr>
      <w:t>2</w:t>
    </w:r>
    <w:r w:rsidRPr="002B7D5D">
      <w:rPr>
        <w:sz w:val="20"/>
      </w:rPr>
      <w:t>1</w:t>
    </w:r>
    <w:r w:rsidR="004D32AC">
      <w:rPr>
        <w:sz w:val="20"/>
      </w:rPr>
      <w:tab/>
    </w:r>
  </w:p>
  <w:p w14:paraId="358DC895" w14:textId="77777777" w:rsidR="00413336" w:rsidRPr="002B7D5D" w:rsidRDefault="00413336">
    <w:pPr>
      <w:pStyle w:val="a7"/>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985FF" w14:textId="77777777" w:rsidR="001F62C5" w:rsidRDefault="001F62C5" w:rsidP="00E97949">
      <w:r>
        <w:separator/>
      </w:r>
    </w:p>
  </w:footnote>
  <w:footnote w:type="continuationSeparator" w:id="0">
    <w:p w14:paraId="0E0B2862" w14:textId="77777777" w:rsidR="001F62C5" w:rsidRDefault="001F62C5" w:rsidP="00E97949">
      <w:r>
        <w:continuationSeparator/>
      </w:r>
    </w:p>
  </w:footnote>
  <w:footnote w:id="1">
    <w:p w14:paraId="2D130CEB" w14:textId="77777777" w:rsidR="00301462" w:rsidRPr="00F8492C" w:rsidRDefault="00301462" w:rsidP="00301462">
      <w:pPr>
        <w:pStyle w:val="ae"/>
        <w:spacing w:after="80"/>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284345"/>
      <w:docPartObj>
        <w:docPartGallery w:val="Page Numbers (Top of Page)"/>
        <w:docPartUnique/>
      </w:docPartObj>
    </w:sdtPr>
    <w:sdtEndPr/>
    <w:sdtContent>
      <w:p w14:paraId="3F3CCD22" w14:textId="77777777" w:rsidR="00413336" w:rsidRDefault="00E57BB0">
        <w:pPr>
          <w:pStyle w:val="a3"/>
          <w:jc w:val="right"/>
        </w:pPr>
        <w:r>
          <w:fldChar w:fldCharType="begin"/>
        </w:r>
        <w:r w:rsidR="00413336">
          <w:instrText>PAGE   \* MERGEFORMAT</w:instrText>
        </w:r>
        <w:r>
          <w:fldChar w:fldCharType="separate"/>
        </w:r>
        <w:r w:rsidR="004D32A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0623"/>
    <w:multiLevelType w:val="multilevel"/>
    <w:tmpl w:val="173CC278"/>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15:restartNumberingAfterBreak="0">
    <w:nsid w:val="04A9792D"/>
    <w:multiLevelType w:val="hybridMultilevel"/>
    <w:tmpl w:val="FB66414A"/>
    <w:lvl w:ilvl="0" w:tplc="144C2FEC">
      <w:start w:val="1"/>
      <w:numFmt w:val="bullet"/>
      <w:lvlText w:val=""/>
      <w:lvlJc w:val="left"/>
      <w:pPr>
        <w:ind w:left="1211" w:hanging="360"/>
      </w:pPr>
      <w:rPr>
        <w:rFonts w:ascii="Symbol" w:hAnsi="Symbol" w:hint="default"/>
        <w:b w:val="0"/>
        <w:i w:val="0"/>
        <w:sz w:val="24"/>
        <w:szCs w:val="18"/>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 w15:restartNumberingAfterBreak="0">
    <w:nsid w:val="0A866589"/>
    <w:multiLevelType w:val="multilevel"/>
    <w:tmpl w:val="FC328ECE"/>
    <w:lvl w:ilvl="0">
      <w:start w:val="1"/>
      <w:numFmt w:val="decimal"/>
      <w:lvlText w:val="%1."/>
      <w:lvlJc w:val="left"/>
      <w:pPr>
        <w:tabs>
          <w:tab w:val="num" w:pos="1080"/>
        </w:tabs>
        <w:ind w:left="1080" w:hanging="796"/>
      </w:pPr>
      <w:rPr>
        <w:rFonts w:hint="default"/>
        <w:i w:val="0"/>
      </w:rPr>
    </w:lvl>
    <w:lvl w:ilvl="1">
      <w:start w:val="1"/>
      <w:numFmt w:val="decimal"/>
      <w:isLgl/>
      <w:lvlText w:val="%1.%2."/>
      <w:lvlJc w:val="left"/>
      <w:pPr>
        <w:tabs>
          <w:tab w:val="num" w:pos="1288"/>
        </w:tabs>
        <w:ind w:left="1" w:firstLine="567"/>
      </w:pPr>
      <w:rPr>
        <w:rFonts w:hint="default"/>
        <w:b/>
        <w:i w:val="0"/>
      </w:rPr>
    </w:lvl>
    <w:lvl w:ilvl="2">
      <w:start w:val="1"/>
      <w:numFmt w:val="decimal"/>
      <w:isLgl/>
      <w:lvlText w:val="%1.%2.%3."/>
      <w:lvlJc w:val="left"/>
      <w:pPr>
        <w:tabs>
          <w:tab w:val="num" w:pos="1813"/>
        </w:tabs>
        <w:ind w:left="1813"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3" w15:restartNumberingAfterBreak="0">
    <w:nsid w:val="0C571C42"/>
    <w:multiLevelType w:val="hybridMultilevel"/>
    <w:tmpl w:val="64B6F21A"/>
    <w:lvl w:ilvl="0" w:tplc="FB582B5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2AB6017"/>
    <w:multiLevelType w:val="hybridMultilevel"/>
    <w:tmpl w:val="6F3AA3FC"/>
    <w:lvl w:ilvl="0" w:tplc="3E2EEF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242888"/>
    <w:multiLevelType w:val="hybridMultilevel"/>
    <w:tmpl w:val="4EDCD2E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1FD2821"/>
    <w:multiLevelType w:val="hybridMultilevel"/>
    <w:tmpl w:val="67BAB176"/>
    <w:lvl w:ilvl="0" w:tplc="0558573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27BB6C8E"/>
    <w:multiLevelType w:val="hybridMultilevel"/>
    <w:tmpl w:val="7DE07F20"/>
    <w:lvl w:ilvl="0" w:tplc="87986B94">
      <w:start w:val="1"/>
      <w:numFmt w:val="decimal"/>
      <w:lvlText w:val="6.%1 "/>
      <w:lvlJc w:val="left"/>
      <w:pPr>
        <w:ind w:left="1429" w:hanging="360"/>
      </w:pPr>
      <w:rPr>
        <w:b w:val="0"/>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39D30D42"/>
    <w:multiLevelType w:val="multilevel"/>
    <w:tmpl w:val="7F80E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3E69E8"/>
    <w:multiLevelType w:val="hybridMultilevel"/>
    <w:tmpl w:val="02467A5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004189"/>
    <w:multiLevelType w:val="hybridMultilevel"/>
    <w:tmpl w:val="3C24ACF6"/>
    <w:lvl w:ilvl="0" w:tplc="133EAE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55FE3187"/>
    <w:multiLevelType w:val="hybridMultilevel"/>
    <w:tmpl w:val="91B418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92B0EBC"/>
    <w:multiLevelType w:val="multilevel"/>
    <w:tmpl w:val="A0C65654"/>
    <w:lvl w:ilvl="0">
      <w:start w:val="1"/>
      <w:numFmt w:val="decimal"/>
      <w:lvlText w:val="%1."/>
      <w:lvlJc w:val="left"/>
      <w:pPr>
        <w:ind w:left="720" w:hanging="360"/>
      </w:pPr>
      <w:rPr>
        <w:rFonts w:hint="default"/>
        <w:i w:val="0"/>
      </w:rPr>
    </w:lvl>
    <w:lvl w:ilvl="1">
      <w:start w:val="7"/>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AE42133"/>
    <w:multiLevelType w:val="hybridMultilevel"/>
    <w:tmpl w:val="6B7CEE68"/>
    <w:lvl w:ilvl="0" w:tplc="2000000F">
      <w:start w:val="16"/>
      <w:numFmt w:val="decimal"/>
      <w:lvlText w:val="%1."/>
      <w:lvlJc w:val="left"/>
      <w:pPr>
        <w:ind w:left="720" w:hanging="360"/>
      </w:pPr>
      <w:rPr>
        <w:rFonts w:hint="default"/>
        <w:w w:val="1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DEF6618"/>
    <w:multiLevelType w:val="hybridMultilevel"/>
    <w:tmpl w:val="C2BA0E48"/>
    <w:lvl w:ilvl="0" w:tplc="144C2F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FD53980"/>
    <w:multiLevelType w:val="hybridMultilevel"/>
    <w:tmpl w:val="F7621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2717F5"/>
    <w:multiLevelType w:val="hybridMultilevel"/>
    <w:tmpl w:val="A9442442"/>
    <w:lvl w:ilvl="0" w:tplc="1E18082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6C26482B"/>
    <w:multiLevelType w:val="hybridMultilevel"/>
    <w:tmpl w:val="D8DC1324"/>
    <w:lvl w:ilvl="0" w:tplc="144C2FEC">
      <w:start w:val="1"/>
      <w:numFmt w:val="bullet"/>
      <w:lvlText w:val=""/>
      <w:lvlJc w:val="left"/>
      <w:pPr>
        <w:ind w:left="1068" w:hanging="360"/>
      </w:pPr>
      <w:rPr>
        <w:rFonts w:ascii="Symbol" w:hAnsi="Symbol"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18" w15:restartNumberingAfterBreak="0">
    <w:nsid w:val="702B0298"/>
    <w:multiLevelType w:val="multilevel"/>
    <w:tmpl w:val="6BE0114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1DA02E2"/>
    <w:multiLevelType w:val="multilevel"/>
    <w:tmpl w:val="A956F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C31435"/>
    <w:multiLevelType w:val="multilevel"/>
    <w:tmpl w:val="AD983926"/>
    <w:lvl w:ilvl="0">
      <w:start w:val="6"/>
      <w:numFmt w:val="decimal"/>
      <w:lvlText w:val="%1"/>
      <w:lvlJc w:val="left"/>
      <w:pPr>
        <w:ind w:left="360" w:hanging="360"/>
      </w:pPr>
      <w:rPr>
        <w:rFonts w:eastAsia="Calibri" w:hint="default"/>
      </w:rPr>
    </w:lvl>
    <w:lvl w:ilvl="1">
      <w:start w:val="3"/>
      <w:numFmt w:val="decimal"/>
      <w:lvlText w:val="%1.%2"/>
      <w:lvlJc w:val="left"/>
      <w:pPr>
        <w:ind w:left="418" w:hanging="360"/>
      </w:pPr>
      <w:rPr>
        <w:rFonts w:eastAsia="Calibri" w:hint="default"/>
      </w:rPr>
    </w:lvl>
    <w:lvl w:ilvl="2">
      <w:start w:val="1"/>
      <w:numFmt w:val="decimal"/>
      <w:lvlText w:val="%1.%2.%3"/>
      <w:lvlJc w:val="left"/>
      <w:pPr>
        <w:ind w:left="836" w:hanging="720"/>
      </w:pPr>
      <w:rPr>
        <w:rFonts w:eastAsia="Calibri" w:hint="default"/>
      </w:rPr>
    </w:lvl>
    <w:lvl w:ilvl="3">
      <w:start w:val="1"/>
      <w:numFmt w:val="decimal"/>
      <w:lvlText w:val="%1.%2.%3.%4"/>
      <w:lvlJc w:val="left"/>
      <w:pPr>
        <w:ind w:left="894" w:hanging="720"/>
      </w:pPr>
      <w:rPr>
        <w:rFonts w:eastAsia="Calibri" w:hint="default"/>
      </w:rPr>
    </w:lvl>
    <w:lvl w:ilvl="4">
      <w:start w:val="1"/>
      <w:numFmt w:val="decimal"/>
      <w:lvlText w:val="%1.%2.%3.%4.%5"/>
      <w:lvlJc w:val="left"/>
      <w:pPr>
        <w:ind w:left="1312" w:hanging="1080"/>
      </w:pPr>
      <w:rPr>
        <w:rFonts w:eastAsia="Calibri" w:hint="default"/>
      </w:rPr>
    </w:lvl>
    <w:lvl w:ilvl="5">
      <w:start w:val="1"/>
      <w:numFmt w:val="decimal"/>
      <w:lvlText w:val="%1.%2.%3.%4.%5.%6"/>
      <w:lvlJc w:val="left"/>
      <w:pPr>
        <w:ind w:left="1370" w:hanging="1080"/>
      </w:pPr>
      <w:rPr>
        <w:rFonts w:eastAsia="Calibri" w:hint="default"/>
      </w:rPr>
    </w:lvl>
    <w:lvl w:ilvl="6">
      <w:start w:val="1"/>
      <w:numFmt w:val="decimal"/>
      <w:lvlText w:val="%1.%2.%3.%4.%5.%6.%7"/>
      <w:lvlJc w:val="left"/>
      <w:pPr>
        <w:ind w:left="1788" w:hanging="1440"/>
      </w:pPr>
      <w:rPr>
        <w:rFonts w:eastAsia="Calibri" w:hint="default"/>
      </w:rPr>
    </w:lvl>
    <w:lvl w:ilvl="7">
      <w:start w:val="1"/>
      <w:numFmt w:val="decimal"/>
      <w:lvlText w:val="%1.%2.%3.%4.%5.%6.%7.%8"/>
      <w:lvlJc w:val="left"/>
      <w:pPr>
        <w:ind w:left="1846" w:hanging="1440"/>
      </w:pPr>
      <w:rPr>
        <w:rFonts w:eastAsia="Calibri" w:hint="default"/>
      </w:rPr>
    </w:lvl>
    <w:lvl w:ilvl="8">
      <w:start w:val="1"/>
      <w:numFmt w:val="decimal"/>
      <w:lvlText w:val="%1.%2.%3.%4.%5.%6.%7.%8.%9"/>
      <w:lvlJc w:val="left"/>
      <w:pPr>
        <w:ind w:left="1904" w:hanging="1440"/>
      </w:pPr>
      <w:rPr>
        <w:rFonts w:eastAsia="Calibri" w:hint="default"/>
      </w:rPr>
    </w:lvl>
  </w:abstractNum>
  <w:abstractNum w:abstractNumId="21" w15:restartNumberingAfterBreak="0">
    <w:nsid w:val="76A738AF"/>
    <w:multiLevelType w:val="hybridMultilevel"/>
    <w:tmpl w:val="AD50627A"/>
    <w:lvl w:ilvl="0" w:tplc="E51E72AC">
      <w:start w:val="1"/>
      <w:numFmt w:val="decimal"/>
      <w:lvlText w:val="%1."/>
      <w:lvlJc w:val="left"/>
      <w:pPr>
        <w:ind w:left="644" w:hanging="360"/>
      </w:pPr>
      <w:rPr>
        <w:rFonts w:hint="default"/>
        <w:b w:val="0"/>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7951665B"/>
    <w:multiLevelType w:val="hybridMultilevel"/>
    <w:tmpl w:val="346C7D5A"/>
    <w:lvl w:ilvl="0" w:tplc="BF5CC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E59683F"/>
    <w:multiLevelType w:val="hybridMultilevel"/>
    <w:tmpl w:val="1F52D92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2"/>
  </w:num>
  <w:num w:numId="2">
    <w:abstractNumId w:val="0"/>
  </w:num>
  <w:num w:numId="3">
    <w:abstractNumId w:val="19"/>
  </w:num>
  <w:num w:numId="4">
    <w:abstractNumId w:val="8"/>
  </w:num>
  <w:num w:numId="5">
    <w:abstractNumId w:val="21"/>
  </w:num>
  <w:num w:numId="6">
    <w:abstractNumId w:val="3"/>
  </w:num>
  <w:num w:numId="7">
    <w:abstractNumId w:val="15"/>
  </w:num>
  <w:num w:numId="8">
    <w:abstractNumId w:val="12"/>
  </w:num>
  <w:num w:numId="9">
    <w:abstractNumId w:val="9"/>
  </w:num>
  <w:num w:numId="10">
    <w:abstractNumId w:val="22"/>
  </w:num>
  <w:num w:numId="11">
    <w:abstractNumId w:val="5"/>
  </w:num>
  <w:num w:numId="12">
    <w:abstractNumId w:val="11"/>
  </w:num>
  <w:num w:numId="13">
    <w:abstractNumId w:val="23"/>
  </w:num>
  <w:num w:numId="14">
    <w:abstractNumId w:val="10"/>
  </w:num>
  <w:num w:numId="15">
    <w:abstractNumId w:val="1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8"/>
  </w:num>
  <w:num w:numId="21">
    <w:abstractNumId w:val="14"/>
  </w:num>
  <w:num w:numId="22">
    <w:abstractNumId w:val="20"/>
  </w:num>
  <w:num w:numId="23">
    <w:abstractNumId w:val="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9AC"/>
    <w:rsid w:val="000075FF"/>
    <w:rsid w:val="00007725"/>
    <w:rsid w:val="000266D1"/>
    <w:rsid w:val="00033BF5"/>
    <w:rsid w:val="00080994"/>
    <w:rsid w:val="00084328"/>
    <w:rsid w:val="000856C3"/>
    <w:rsid w:val="000974DC"/>
    <w:rsid w:val="000B3035"/>
    <w:rsid w:val="000B64A4"/>
    <w:rsid w:val="000B6565"/>
    <w:rsid w:val="000D01F5"/>
    <w:rsid w:val="000E0B5C"/>
    <w:rsid w:val="000E1936"/>
    <w:rsid w:val="000E1D59"/>
    <w:rsid w:val="000F2B54"/>
    <w:rsid w:val="00101BE8"/>
    <w:rsid w:val="00104922"/>
    <w:rsid w:val="00115673"/>
    <w:rsid w:val="00131F80"/>
    <w:rsid w:val="00136631"/>
    <w:rsid w:val="00140E0F"/>
    <w:rsid w:val="00146689"/>
    <w:rsid w:val="00150E05"/>
    <w:rsid w:val="00151A9A"/>
    <w:rsid w:val="001619D3"/>
    <w:rsid w:val="0017100A"/>
    <w:rsid w:val="00183AD2"/>
    <w:rsid w:val="00197CE0"/>
    <w:rsid w:val="001A66D6"/>
    <w:rsid w:val="001B33F9"/>
    <w:rsid w:val="001B6DFD"/>
    <w:rsid w:val="001C1245"/>
    <w:rsid w:val="001C1D2F"/>
    <w:rsid w:val="001D5B60"/>
    <w:rsid w:val="001E3168"/>
    <w:rsid w:val="001E471F"/>
    <w:rsid w:val="001F62C5"/>
    <w:rsid w:val="001F799B"/>
    <w:rsid w:val="00224FDC"/>
    <w:rsid w:val="002315F8"/>
    <w:rsid w:val="0023350C"/>
    <w:rsid w:val="002555DE"/>
    <w:rsid w:val="0027652B"/>
    <w:rsid w:val="002903C2"/>
    <w:rsid w:val="0029653A"/>
    <w:rsid w:val="002B3F56"/>
    <w:rsid w:val="00301462"/>
    <w:rsid w:val="003079B4"/>
    <w:rsid w:val="003126E0"/>
    <w:rsid w:val="003157E5"/>
    <w:rsid w:val="00321A79"/>
    <w:rsid w:val="00330090"/>
    <w:rsid w:val="00330B9C"/>
    <w:rsid w:val="00331715"/>
    <w:rsid w:val="00337F6E"/>
    <w:rsid w:val="00356644"/>
    <w:rsid w:val="00361BA4"/>
    <w:rsid w:val="00361D57"/>
    <w:rsid w:val="00362FD5"/>
    <w:rsid w:val="00365094"/>
    <w:rsid w:val="00381135"/>
    <w:rsid w:val="003A3A10"/>
    <w:rsid w:val="003B160D"/>
    <w:rsid w:val="003B3E93"/>
    <w:rsid w:val="003E6FE3"/>
    <w:rsid w:val="003F33CC"/>
    <w:rsid w:val="003F6ACE"/>
    <w:rsid w:val="004057F8"/>
    <w:rsid w:val="00411904"/>
    <w:rsid w:val="00413336"/>
    <w:rsid w:val="004266EC"/>
    <w:rsid w:val="00447A8B"/>
    <w:rsid w:val="004558E6"/>
    <w:rsid w:val="004624B1"/>
    <w:rsid w:val="0046571D"/>
    <w:rsid w:val="004710B1"/>
    <w:rsid w:val="00496904"/>
    <w:rsid w:val="004A1BFC"/>
    <w:rsid w:val="004B510C"/>
    <w:rsid w:val="004C22BD"/>
    <w:rsid w:val="004C7580"/>
    <w:rsid w:val="004D0046"/>
    <w:rsid w:val="004D1FA2"/>
    <w:rsid w:val="004D32AC"/>
    <w:rsid w:val="004D3B9D"/>
    <w:rsid w:val="004F00A2"/>
    <w:rsid w:val="00515BE1"/>
    <w:rsid w:val="00526D1E"/>
    <w:rsid w:val="00560F48"/>
    <w:rsid w:val="005735D7"/>
    <w:rsid w:val="005830A1"/>
    <w:rsid w:val="0058700B"/>
    <w:rsid w:val="005A7B64"/>
    <w:rsid w:val="005B7629"/>
    <w:rsid w:val="005C0C43"/>
    <w:rsid w:val="005C68E5"/>
    <w:rsid w:val="005D0CD5"/>
    <w:rsid w:val="005D6941"/>
    <w:rsid w:val="00627272"/>
    <w:rsid w:val="00645963"/>
    <w:rsid w:val="00657684"/>
    <w:rsid w:val="006753BF"/>
    <w:rsid w:val="00692BA7"/>
    <w:rsid w:val="00694637"/>
    <w:rsid w:val="006B1955"/>
    <w:rsid w:val="006C7D5B"/>
    <w:rsid w:val="006D0289"/>
    <w:rsid w:val="006E2576"/>
    <w:rsid w:val="006F0B69"/>
    <w:rsid w:val="006F5096"/>
    <w:rsid w:val="006F65A7"/>
    <w:rsid w:val="00736E45"/>
    <w:rsid w:val="007512FC"/>
    <w:rsid w:val="0077681A"/>
    <w:rsid w:val="007932B0"/>
    <w:rsid w:val="007A4DDC"/>
    <w:rsid w:val="007C0B96"/>
    <w:rsid w:val="007C29D0"/>
    <w:rsid w:val="007D61F6"/>
    <w:rsid w:val="007D6365"/>
    <w:rsid w:val="007F5565"/>
    <w:rsid w:val="007F7782"/>
    <w:rsid w:val="00804804"/>
    <w:rsid w:val="008103CE"/>
    <w:rsid w:val="00817F1F"/>
    <w:rsid w:val="0083566B"/>
    <w:rsid w:val="00837E7C"/>
    <w:rsid w:val="0084029E"/>
    <w:rsid w:val="0084784D"/>
    <w:rsid w:val="008514EE"/>
    <w:rsid w:val="00854451"/>
    <w:rsid w:val="00857822"/>
    <w:rsid w:val="008611A4"/>
    <w:rsid w:val="008964F7"/>
    <w:rsid w:val="008A3C30"/>
    <w:rsid w:val="008A6945"/>
    <w:rsid w:val="008B46D3"/>
    <w:rsid w:val="008B721D"/>
    <w:rsid w:val="008C79AC"/>
    <w:rsid w:val="009006FD"/>
    <w:rsid w:val="00912C31"/>
    <w:rsid w:val="00921F39"/>
    <w:rsid w:val="00922FF7"/>
    <w:rsid w:val="009251C5"/>
    <w:rsid w:val="00931321"/>
    <w:rsid w:val="00942379"/>
    <w:rsid w:val="0094587E"/>
    <w:rsid w:val="009476BD"/>
    <w:rsid w:val="00956934"/>
    <w:rsid w:val="0095701D"/>
    <w:rsid w:val="009674C5"/>
    <w:rsid w:val="0098531C"/>
    <w:rsid w:val="009A1ED8"/>
    <w:rsid w:val="009A6D8C"/>
    <w:rsid w:val="009B3615"/>
    <w:rsid w:val="009B3BA8"/>
    <w:rsid w:val="009B57F8"/>
    <w:rsid w:val="009B6A0E"/>
    <w:rsid w:val="009F59BC"/>
    <w:rsid w:val="00A279B4"/>
    <w:rsid w:val="00A32EEC"/>
    <w:rsid w:val="00A46A1F"/>
    <w:rsid w:val="00A5002D"/>
    <w:rsid w:val="00A552D1"/>
    <w:rsid w:val="00A621C2"/>
    <w:rsid w:val="00A76268"/>
    <w:rsid w:val="00A77E2F"/>
    <w:rsid w:val="00AA3A03"/>
    <w:rsid w:val="00AB150F"/>
    <w:rsid w:val="00AC0442"/>
    <w:rsid w:val="00AC5772"/>
    <w:rsid w:val="00AC5A80"/>
    <w:rsid w:val="00AF186D"/>
    <w:rsid w:val="00AF522D"/>
    <w:rsid w:val="00B067E6"/>
    <w:rsid w:val="00B20D03"/>
    <w:rsid w:val="00B25A09"/>
    <w:rsid w:val="00B4331F"/>
    <w:rsid w:val="00B5555B"/>
    <w:rsid w:val="00B84CA0"/>
    <w:rsid w:val="00BA07A7"/>
    <w:rsid w:val="00BA70D2"/>
    <w:rsid w:val="00BB1255"/>
    <w:rsid w:val="00BB1D9F"/>
    <w:rsid w:val="00BB36FB"/>
    <w:rsid w:val="00BC4253"/>
    <w:rsid w:val="00BF14D9"/>
    <w:rsid w:val="00C01D25"/>
    <w:rsid w:val="00C52C81"/>
    <w:rsid w:val="00C5549A"/>
    <w:rsid w:val="00C75524"/>
    <w:rsid w:val="00C93929"/>
    <w:rsid w:val="00CA1BB3"/>
    <w:rsid w:val="00CB35E0"/>
    <w:rsid w:val="00CC354E"/>
    <w:rsid w:val="00CC6903"/>
    <w:rsid w:val="00CC7D97"/>
    <w:rsid w:val="00D129F5"/>
    <w:rsid w:val="00D1407F"/>
    <w:rsid w:val="00D14137"/>
    <w:rsid w:val="00D33C20"/>
    <w:rsid w:val="00D37716"/>
    <w:rsid w:val="00D64A4E"/>
    <w:rsid w:val="00D71EF2"/>
    <w:rsid w:val="00D753BF"/>
    <w:rsid w:val="00D82B41"/>
    <w:rsid w:val="00DA0043"/>
    <w:rsid w:val="00DA032A"/>
    <w:rsid w:val="00DA3BA8"/>
    <w:rsid w:val="00DD4665"/>
    <w:rsid w:val="00DD4F4C"/>
    <w:rsid w:val="00DF1721"/>
    <w:rsid w:val="00E30B5E"/>
    <w:rsid w:val="00E43731"/>
    <w:rsid w:val="00E53261"/>
    <w:rsid w:val="00E5498D"/>
    <w:rsid w:val="00E57BB0"/>
    <w:rsid w:val="00E775B3"/>
    <w:rsid w:val="00E97949"/>
    <w:rsid w:val="00EB1FDD"/>
    <w:rsid w:val="00EB254F"/>
    <w:rsid w:val="00EC34BC"/>
    <w:rsid w:val="00EC4D89"/>
    <w:rsid w:val="00EC68A0"/>
    <w:rsid w:val="00ED73BC"/>
    <w:rsid w:val="00EE356C"/>
    <w:rsid w:val="00EF2D78"/>
    <w:rsid w:val="00F11DB8"/>
    <w:rsid w:val="00F127FC"/>
    <w:rsid w:val="00F14ABF"/>
    <w:rsid w:val="00F16F23"/>
    <w:rsid w:val="00F1790D"/>
    <w:rsid w:val="00F2547A"/>
    <w:rsid w:val="00F27F5E"/>
    <w:rsid w:val="00F452E3"/>
    <w:rsid w:val="00F52B09"/>
    <w:rsid w:val="00F532BC"/>
    <w:rsid w:val="00F55474"/>
    <w:rsid w:val="00F654B6"/>
    <w:rsid w:val="00F65958"/>
    <w:rsid w:val="00F67B03"/>
    <w:rsid w:val="00F71B27"/>
    <w:rsid w:val="00F81F86"/>
    <w:rsid w:val="00F90196"/>
    <w:rsid w:val="00FB11FC"/>
    <w:rsid w:val="00FB6027"/>
    <w:rsid w:val="00FC643B"/>
    <w:rsid w:val="00FC6814"/>
    <w:rsid w:val="00FE25BA"/>
    <w:rsid w:val="00FF0B79"/>
    <w:rsid w:val="00FF164D"/>
    <w:rsid w:val="00FF6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1911D"/>
  <w15:docId w15:val="{1CBC69F8-5742-4E9D-B166-6B1E016F9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565"/>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A9A"/>
    <w:pPr>
      <w:tabs>
        <w:tab w:val="center" w:pos="4153"/>
        <w:tab w:val="right" w:pos="8306"/>
      </w:tabs>
    </w:pPr>
  </w:style>
  <w:style w:type="character" w:customStyle="1" w:styleId="a4">
    <w:name w:val="Верхний колонтитул Знак"/>
    <w:basedOn w:val="a0"/>
    <w:link w:val="a3"/>
    <w:uiPriority w:val="99"/>
    <w:rsid w:val="00151A9A"/>
    <w:rPr>
      <w:rFonts w:ascii="Times New Roman" w:eastAsia="Times New Roman" w:hAnsi="Times New Roman" w:cs="Times New Roman"/>
      <w:sz w:val="28"/>
      <w:szCs w:val="20"/>
      <w:lang w:eastAsia="ru-RU"/>
    </w:rPr>
  </w:style>
  <w:style w:type="paragraph" w:styleId="a5">
    <w:name w:val="Body Text"/>
    <w:basedOn w:val="a"/>
    <w:link w:val="a6"/>
    <w:unhideWhenUsed/>
    <w:rsid w:val="00151A9A"/>
    <w:pPr>
      <w:jc w:val="center"/>
    </w:pPr>
    <w:rPr>
      <w:rFonts w:ascii="Times New Roman CYR" w:hAnsi="Times New Roman CYR"/>
      <w:b/>
    </w:rPr>
  </w:style>
  <w:style w:type="character" w:customStyle="1" w:styleId="a6">
    <w:name w:val="Основной текст Знак"/>
    <w:basedOn w:val="a0"/>
    <w:link w:val="a5"/>
    <w:rsid w:val="00151A9A"/>
    <w:rPr>
      <w:rFonts w:ascii="Times New Roman CYR" w:eastAsia="Times New Roman" w:hAnsi="Times New Roman CYR" w:cs="Times New Roman"/>
      <w:b/>
      <w:sz w:val="28"/>
      <w:szCs w:val="20"/>
      <w:lang w:eastAsia="ru-RU"/>
    </w:rPr>
  </w:style>
  <w:style w:type="paragraph" w:styleId="2">
    <w:name w:val="Body Text 2"/>
    <w:basedOn w:val="a"/>
    <w:link w:val="20"/>
    <w:unhideWhenUsed/>
    <w:rsid w:val="00151A9A"/>
    <w:pPr>
      <w:spacing w:after="120" w:line="240" w:lineRule="exact"/>
      <w:jc w:val="both"/>
    </w:pPr>
    <w:rPr>
      <w:rFonts w:ascii="Times New Roman CYR" w:hAnsi="Times New Roman CYR"/>
      <w:sz w:val="24"/>
    </w:rPr>
  </w:style>
  <w:style w:type="character" w:customStyle="1" w:styleId="20">
    <w:name w:val="Основной текст 2 Знак"/>
    <w:basedOn w:val="a0"/>
    <w:link w:val="2"/>
    <w:rsid w:val="00151A9A"/>
    <w:rPr>
      <w:rFonts w:ascii="Times New Roman CYR" w:eastAsia="Times New Roman" w:hAnsi="Times New Roman CYR" w:cs="Times New Roman"/>
      <w:sz w:val="24"/>
      <w:szCs w:val="20"/>
      <w:lang w:eastAsia="ru-RU"/>
    </w:rPr>
  </w:style>
  <w:style w:type="paragraph" w:styleId="a7">
    <w:name w:val="footer"/>
    <w:basedOn w:val="a"/>
    <w:link w:val="a8"/>
    <w:uiPriority w:val="99"/>
    <w:unhideWhenUsed/>
    <w:rsid w:val="00151A9A"/>
    <w:pPr>
      <w:tabs>
        <w:tab w:val="center" w:pos="4677"/>
        <w:tab w:val="right" w:pos="9355"/>
      </w:tabs>
    </w:pPr>
  </w:style>
  <w:style w:type="character" w:customStyle="1" w:styleId="a8">
    <w:name w:val="Нижний колонтитул Знак"/>
    <w:basedOn w:val="a0"/>
    <w:link w:val="a7"/>
    <w:uiPriority w:val="99"/>
    <w:rsid w:val="00151A9A"/>
    <w:rPr>
      <w:rFonts w:ascii="Times New Roman" w:eastAsia="Times New Roman" w:hAnsi="Times New Roman" w:cs="Times New Roman"/>
      <w:sz w:val="28"/>
      <w:szCs w:val="20"/>
      <w:lang w:eastAsia="ru-RU"/>
    </w:rPr>
  </w:style>
  <w:style w:type="table" w:styleId="a9">
    <w:name w:val="Table Grid"/>
    <w:basedOn w:val="a1"/>
    <w:uiPriority w:val="39"/>
    <w:rsid w:val="006E2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42379"/>
    <w:pPr>
      <w:ind w:left="720"/>
      <w:contextualSpacing/>
    </w:pPr>
  </w:style>
  <w:style w:type="character" w:customStyle="1" w:styleId="21">
    <w:name w:val="Основной текст (2)_"/>
    <w:basedOn w:val="a0"/>
    <w:link w:val="22"/>
    <w:rsid w:val="00146689"/>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46689"/>
    <w:pPr>
      <w:widowControl w:val="0"/>
      <w:shd w:val="clear" w:color="auto" w:fill="FFFFFF"/>
      <w:overflowPunct/>
      <w:autoSpaceDE/>
      <w:autoSpaceDN/>
      <w:adjustRightInd/>
      <w:spacing w:before="240" w:line="295" w:lineRule="exact"/>
      <w:jc w:val="both"/>
    </w:pPr>
    <w:rPr>
      <w:sz w:val="26"/>
      <w:szCs w:val="26"/>
      <w:lang w:eastAsia="en-US"/>
    </w:rPr>
  </w:style>
  <w:style w:type="character" w:customStyle="1" w:styleId="23">
    <w:name w:val="Основной текст (2) + Полужирный"/>
    <w:basedOn w:val="21"/>
    <w:rsid w:val="0058700B"/>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table" w:customStyle="1" w:styleId="1">
    <w:name w:val="Сетка таблицы1"/>
    <w:basedOn w:val="a1"/>
    <w:next w:val="a9"/>
    <w:uiPriority w:val="59"/>
    <w:rsid w:val="005B7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E356C"/>
    <w:rPr>
      <w:rFonts w:ascii="Tahoma" w:hAnsi="Tahoma" w:cs="Tahoma"/>
      <w:sz w:val="16"/>
      <w:szCs w:val="16"/>
    </w:rPr>
  </w:style>
  <w:style w:type="character" w:customStyle="1" w:styleId="ac">
    <w:name w:val="Текст выноски Знак"/>
    <w:basedOn w:val="a0"/>
    <w:link w:val="ab"/>
    <w:uiPriority w:val="99"/>
    <w:semiHidden/>
    <w:rsid w:val="00EE356C"/>
    <w:rPr>
      <w:rFonts w:ascii="Tahoma" w:eastAsia="Times New Roman" w:hAnsi="Tahoma" w:cs="Tahoma"/>
      <w:sz w:val="16"/>
      <w:szCs w:val="16"/>
      <w:lang w:eastAsia="ru-RU"/>
    </w:rPr>
  </w:style>
  <w:style w:type="character" w:customStyle="1" w:styleId="7">
    <w:name w:val="Основной текст (7)_"/>
    <w:basedOn w:val="a0"/>
    <w:link w:val="70"/>
    <w:rsid w:val="00DD4665"/>
    <w:rPr>
      <w:rFonts w:ascii="Times New Roman" w:eastAsia="Times New Roman" w:hAnsi="Times New Roman" w:cs="Times New Roman"/>
      <w:sz w:val="20"/>
      <w:szCs w:val="20"/>
      <w:shd w:val="clear" w:color="auto" w:fill="FFFFFF"/>
    </w:rPr>
  </w:style>
  <w:style w:type="paragraph" w:customStyle="1" w:styleId="70">
    <w:name w:val="Основной текст (7)"/>
    <w:basedOn w:val="a"/>
    <w:link w:val="7"/>
    <w:rsid w:val="00DD4665"/>
    <w:pPr>
      <w:widowControl w:val="0"/>
      <w:shd w:val="clear" w:color="auto" w:fill="FFFFFF"/>
      <w:overflowPunct/>
      <w:autoSpaceDE/>
      <w:autoSpaceDN/>
      <w:adjustRightInd/>
      <w:spacing w:line="256" w:lineRule="exact"/>
    </w:pPr>
    <w:rPr>
      <w:sz w:val="20"/>
      <w:lang w:eastAsia="en-US"/>
    </w:rPr>
  </w:style>
  <w:style w:type="paragraph" w:styleId="ad">
    <w:name w:val="No Spacing"/>
    <w:uiPriority w:val="1"/>
    <w:qFormat/>
    <w:rsid w:val="007512F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paragraph" w:customStyle="1" w:styleId="Default">
    <w:name w:val="Default"/>
    <w:rsid w:val="00D1407F"/>
    <w:pPr>
      <w:autoSpaceDE w:val="0"/>
      <w:autoSpaceDN w:val="0"/>
      <w:adjustRightInd w:val="0"/>
      <w:spacing w:after="0" w:line="240" w:lineRule="auto"/>
    </w:pPr>
    <w:rPr>
      <w:rFonts w:ascii="Times New Roman" w:hAnsi="Times New Roman" w:cs="Times New Roman"/>
      <w:color w:val="000000"/>
      <w:sz w:val="24"/>
      <w:szCs w:val="24"/>
    </w:rPr>
  </w:style>
  <w:style w:type="paragraph" w:styleId="3">
    <w:name w:val="Body Text Indent 3"/>
    <w:basedOn w:val="a"/>
    <w:link w:val="30"/>
    <w:uiPriority w:val="99"/>
    <w:semiHidden/>
    <w:unhideWhenUsed/>
    <w:rsid w:val="00301462"/>
    <w:pPr>
      <w:spacing w:after="120"/>
      <w:ind w:left="283"/>
    </w:pPr>
    <w:rPr>
      <w:sz w:val="16"/>
      <w:szCs w:val="16"/>
    </w:rPr>
  </w:style>
  <w:style w:type="character" w:customStyle="1" w:styleId="30">
    <w:name w:val="Основной текст с отступом 3 Знак"/>
    <w:basedOn w:val="a0"/>
    <w:link w:val="3"/>
    <w:uiPriority w:val="99"/>
    <w:semiHidden/>
    <w:rsid w:val="00301462"/>
    <w:rPr>
      <w:rFonts w:ascii="Times New Roman" w:eastAsia="Times New Roman" w:hAnsi="Times New Roman" w:cs="Times New Roman"/>
      <w:sz w:val="16"/>
      <w:szCs w:val="16"/>
      <w:lang w:eastAsia="ru-RU"/>
    </w:rPr>
  </w:style>
  <w:style w:type="paragraph" w:styleId="ae">
    <w:name w:val="footnote text"/>
    <w:basedOn w:val="a"/>
    <w:link w:val="af"/>
    <w:uiPriority w:val="99"/>
    <w:semiHidden/>
    <w:rsid w:val="00301462"/>
    <w:pPr>
      <w:overflowPunct/>
      <w:autoSpaceDE/>
      <w:autoSpaceDN/>
      <w:adjustRightInd/>
    </w:pPr>
    <w:rPr>
      <w:sz w:val="20"/>
    </w:rPr>
  </w:style>
  <w:style w:type="character" w:customStyle="1" w:styleId="af">
    <w:name w:val="Текст сноски Знак"/>
    <w:basedOn w:val="a0"/>
    <w:link w:val="ae"/>
    <w:uiPriority w:val="99"/>
    <w:semiHidden/>
    <w:rsid w:val="00301462"/>
    <w:rPr>
      <w:rFonts w:ascii="Times New Roman" w:eastAsia="Times New Roman" w:hAnsi="Times New Roman" w:cs="Times New Roman"/>
      <w:sz w:val="20"/>
      <w:szCs w:val="20"/>
      <w:lang w:eastAsia="ru-RU"/>
    </w:rPr>
  </w:style>
  <w:style w:type="character" w:styleId="af0">
    <w:name w:val="footnote reference"/>
    <w:basedOn w:val="a0"/>
    <w:uiPriority w:val="99"/>
    <w:semiHidden/>
    <w:rsid w:val="003014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312965">
      <w:bodyDiv w:val="1"/>
      <w:marLeft w:val="0"/>
      <w:marRight w:val="0"/>
      <w:marTop w:val="0"/>
      <w:marBottom w:val="0"/>
      <w:divBdr>
        <w:top w:val="none" w:sz="0" w:space="0" w:color="auto"/>
        <w:left w:val="none" w:sz="0" w:space="0" w:color="auto"/>
        <w:bottom w:val="none" w:sz="0" w:space="0" w:color="auto"/>
        <w:right w:val="none" w:sz="0" w:space="0" w:color="auto"/>
      </w:divBdr>
    </w:div>
    <w:div w:id="509442982">
      <w:bodyDiv w:val="1"/>
      <w:marLeft w:val="0"/>
      <w:marRight w:val="0"/>
      <w:marTop w:val="0"/>
      <w:marBottom w:val="0"/>
      <w:divBdr>
        <w:top w:val="none" w:sz="0" w:space="0" w:color="auto"/>
        <w:left w:val="none" w:sz="0" w:space="0" w:color="auto"/>
        <w:bottom w:val="none" w:sz="0" w:space="0" w:color="auto"/>
        <w:right w:val="none" w:sz="0" w:space="0" w:color="auto"/>
      </w:divBdr>
    </w:div>
    <w:div w:id="630136029">
      <w:bodyDiv w:val="1"/>
      <w:marLeft w:val="0"/>
      <w:marRight w:val="0"/>
      <w:marTop w:val="0"/>
      <w:marBottom w:val="0"/>
      <w:divBdr>
        <w:top w:val="none" w:sz="0" w:space="0" w:color="auto"/>
        <w:left w:val="none" w:sz="0" w:space="0" w:color="auto"/>
        <w:bottom w:val="none" w:sz="0" w:space="0" w:color="auto"/>
        <w:right w:val="none" w:sz="0" w:space="0" w:color="auto"/>
      </w:divBdr>
    </w:div>
    <w:div w:id="712920694">
      <w:bodyDiv w:val="1"/>
      <w:marLeft w:val="0"/>
      <w:marRight w:val="0"/>
      <w:marTop w:val="0"/>
      <w:marBottom w:val="0"/>
      <w:divBdr>
        <w:top w:val="none" w:sz="0" w:space="0" w:color="auto"/>
        <w:left w:val="none" w:sz="0" w:space="0" w:color="auto"/>
        <w:bottom w:val="none" w:sz="0" w:space="0" w:color="auto"/>
        <w:right w:val="none" w:sz="0" w:space="0" w:color="auto"/>
      </w:divBdr>
    </w:div>
    <w:div w:id="1424574844">
      <w:bodyDiv w:val="1"/>
      <w:marLeft w:val="0"/>
      <w:marRight w:val="0"/>
      <w:marTop w:val="0"/>
      <w:marBottom w:val="0"/>
      <w:divBdr>
        <w:top w:val="none" w:sz="0" w:space="0" w:color="auto"/>
        <w:left w:val="none" w:sz="0" w:space="0" w:color="auto"/>
        <w:bottom w:val="none" w:sz="0" w:space="0" w:color="auto"/>
        <w:right w:val="none" w:sz="0" w:space="0" w:color="auto"/>
      </w:divBdr>
    </w:div>
    <w:div w:id="1736002411">
      <w:bodyDiv w:val="1"/>
      <w:marLeft w:val="0"/>
      <w:marRight w:val="0"/>
      <w:marTop w:val="0"/>
      <w:marBottom w:val="0"/>
      <w:divBdr>
        <w:top w:val="none" w:sz="0" w:space="0" w:color="auto"/>
        <w:left w:val="none" w:sz="0" w:space="0" w:color="auto"/>
        <w:bottom w:val="none" w:sz="0" w:space="0" w:color="auto"/>
        <w:right w:val="none" w:sz="0" w:space="0" w:color="auto"/>
      </w:divBdr>
    </w:div>
    <w:div w:id="1788156689">
      <w:bodyDiv w:val="1"/>
      <w:marLeft w:val="0"/>
      <w:marRight w:val="0"/>
      <w:marTop w:val="0"/>
      <w:marBottom w:val="0"/>
      <w:divBdr>
        <w:top w:val="none" w:sz="0" w:space="0" w:color="auto"/>
        <w:left w:val="none" w:sz="0" w:space="0" w:color="auto"/>
        <w:bottom w:val="none" w:sz="0" w:space="0" w:color="auto"/>
        <w:right w:val="none" w:sz="0" w:space="0" w:color="auto"/>
      </w:divBdr>
    </w:div>
    <w:div w:id="1891764319">
      <w:bodyDiv w:val="1"/>
      <w:marLeft w:val="0"/>
      <w:marRight w:val="0"/>
      <w:marTop w:val="0"/>
      <w:marBottom w:val="0"/>
      <w:divBdr>
        <w:top w:val="none" w:sz="0" w:space="0" w:color="auto"/>
        <w:left w:val="none" w:sz="0" w:space="0" w:color="auto"/>
        <w:bottom w:val="none" w:sz="0" w:space="0" w:color="auto"/>
        <w:right w:val="none" w:sz="0" w:space="0" w:color="auto"/>
      </w:divBdr>
    </w:div>
    <w:div w:id="1903371994">
      <w:bodyDiv w:val="1"/>
      <w:marLeft w:val="0"/>
      <w:marRight w:val="0"/>
      <w:marTop w:val="0"/>
      <w:marBottom w:val="0"/>
      <w:divBdr>
        <w:top w:val="none" w:sz="0" w:space="0" w:color="auto"/>
        <w:left w:val="none" w:sz="0" w:space="0" w:color="auto"/>
        <w:bottom w:val="none" w:sz="0" w:space="0" w:color="auto"/>
        <w:right w:val="none" w:sz="0" w:space="0" w:color="auto"/>
      </w:divBdr>
    </w:div>
    <w:div w:id="20893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93012-8BCC-4C99-BB39-5AB372A3B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17</Pages>
  <Words>6328</Words>
  <Characters>36072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client801_11</dc:creator>
  <cp:lastModifiedBy>Томшис Ольга Владимировна</cp:lastModifiedBy>
  <cp:revision>33</cp:revision>
  <cp:lastPrinted>2021-11-16T10:38:00Z</cp:lastPrinted>
  <dcterms:created xsi:type="dcterms:W3CDTF">2021-11-05T13:14:00Z</dcterms:created>
  <dcterms:modified xsi:type="dcterms:W3CDTF">2021-11-16T13:48:00Z</dcterms:modified>
</cp:coreProperties>
</file>